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524" w:rsidRDefault="002F6264">
      <w:r>
        <w:rPr>
          <w:noProof/>
        </w:rPr>
        <w:drawing>
          <wp:inline distT="0" distB="0" distL="0" distR="0" wp14:anchorId="60A1CC15" wp14:editId="43EB97D1">
            <wp:extent cx="5943600" cy="4787265"/>
            <wp:effectExtent l="19050" t="19050" r="19050" b="133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872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E5F8E" w:rsidRDefault="006E5F8E" w:rsidP="00133E21">
      <w:pPr>
        <w:pStyle w:val="ListParagraph"/>
        <w:numPr>
          <w:ilvl w:val="0"/>
          <w:numId w:val="2"/>
        </w:numPr>
      </w:pPr>
      <w:r>
        <w:t>Study looked to analyze</w:t>
      </w:r>
      <w:r w:rsidR="00133E21" w:rsidRPr="00133E21">
        <w:t xml:space="preserve"> the association between electrolyte abn</w:t>
      </w:r>
      <w:r>
        <w:t xml:space="preserve">ormalities and </w:t>
      </w:r>
      <w:r w:rsidR="00680C37">
        <w:t xml:space="preserve">mortality </w:t>
      </w:r>
      <w:r>
        <w:t>outcome in cats</w:t>
      </w:r>
    </w:p>
    <w:p w:rsidR="006E5F8E" w:rsidRDefault="00133E21" w:rsidP="00133E21">
      <w:pPr>
        <w:pStyle w:val="ListParagraph"/>
        <w:numPr>
          <w:ilvl w:val="0"/>
          <w:numId w:val="2"/>
        </w:numPr>
      </w:pPr>
      <w:r w:rsidRPr="00133E21">
        <w:t xml:space="preserve">There were prominent non-linear ‘U’ shaped relationships between electrolyte concentrations and case fatality rates for </w:t>
      </w:r>
      <w:r w:rsidR="006E5F8E">
        <w:t>all four electrolytes assessed</w:t>
      </w:r>
      <w:r w:rsidR="00B84D2B">
        <w:t xml:space="preserve"> (Na, K, Cl – corrected, </w:t>
      </w:r>
      <w:proofErr w:type="spellStart"/>
      <w:r w:rsidR="00B84D2B">
        <w:t>iCa</w:t>
      </w:r>
      <w:proofErr w:type="spellEnd"/>
      <w:r w:rsidR="00B84D2B">
        <w:t>)</w:t>
      </w:r>
    </w:p>
    <w:p w:rsidR="00133E21" w:rsidRDefault="00133E21" w:rsidP="006E5F8E">
      <w:pPr>
        <w:pStyle w:val="ListParagraph"/>
        <w:numPr>
          <w:ilvl w:val="0"/>
          <w:numId w:val="2"/>
        </w:numPr>
      </w:pPr>
      <w:r w:rsidRPr="00133E21">
        <w:t>Patients with electrolyte concentrations close to the median value (within reference intervals) had low case fatality rates, while patients with abnormal concentrations had increased case fatality rates proportionat</w:t>
      </w:r>
      <w:r w:rsidR="006E5F8E">
        <w:t>e to the degree of abnormality</w:t>
      </w:r>
    </w:p>
    <w:p w:rsidR="00133E21" w:rsidRDefault="006E5F8E" w:rsidP="00133E21">
      <w:pPr>
        <w:pStyle w:val="ListParagraph"/>
        <w:numPr>
          <w:ilvl w:val="0"/>
          <w:numId w:val="2"/>
        </w:numPr>
      </w:pPr>
      <w:r>
        <w:t>P</w:t>
      </w:r>
      <w:r w:rsidR="00133E21">
        <w:t>atients with more than one disturbance in either direction are at greater risk of a poor outcome irrespective of the combination of el</w:t>
      </w:r>
      <w:r>
        <w:t>ectrolyte disturbances present</w:t>
      </w:r>
    </w:p>
    <w:p w:rsidR="006E5F8E" w:rsidRDefault="003F7FF6" w:rsidP="006E5F8E">
      <w:pPr>
        <w:pStyle w:val="ListParagraph"/>
        <w:numPr>
          <w:ilvl w:val="0"/>
          <w:numId w:val="2"/>
        </w:numPr>
      </w:pPr>
      <w:r>
        <w:t xml:space="preserve">The strength of the association between death and electrolyte abnormalities suggests such disturbances should be taken seriously and that clinicians should take steps to identify and </w:t>
      </w:r>
      <w:r w:rsidR="006E5F8E">
        <w:t>manage the underlying diseases</w:t>
      </w:r>
    </w:p>
    <w:p w:rsidR="002F6264" w:rsidRDefault="002F6264"/>
    <w:p w:rsidR="002F6264" w:rsidRDefault="002F6264"/>
    <w:p w:rsidR="00874658" w:rsidRDefault="00CC4CA0">
      <w:r w:rsidRPr="00CC4CA0">
        <w:rPr>
          <w:noProof/>
          <w:highlight w:val="yellow"/>
        </w:rPr>
        <w:lastRenderedPageBreak/>
        <w:drawing>
          <wp:inline distT="0" distB="0" distL="0" distR="0" wp14:anchorId="1AABCCAC" wp14:editId="149C8040">
            <wp:extent cx="5943600" cy="5090795"/>
            <wp:effectExtent l="19050" t="19050" r="19050" b="146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907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CC4CA0" w:rsidRDefault="00CC4CA0" w:rsidP="00CC4CA0">
      <w:pPr>
        <w:pStyle w:val="ListParagraph"/>
        <w:numPr>
          <w:ilvl w:val="0"/>
          <w:numId w:val="2"/>
        </w:numPr>
      </w:pPr>
      <w:r>
        <w:t>MST was 69 days with c</w:t>
      </w:r>
      <w:r w:rsidR="00874658" w:rsidRPr="00874658">
        <w:t>ardiac</w:t>
      </w:r>
      <w:r>
        <w:t xml:space="preserve"> </w:t>
      </w:r>
      <w:r w:rsidR="00874658" w:rsidRPr="00874658">
        <w:t>rel</w:t>
      </w:r>
      <w:r>
        <w:t>ated death in 83%</w:t>
      </w:r>
    </w:p>
    <w:p w:rsidR="00CC4CA0" w:rsidRDefault="00CC4CA0" w:rsidP="00CC4CA0">
      <w:pPr>
        <w:pStyle w:val="ListParagraph"/>
        <w:numPr>
          <w:ilvl w:val="0"/>
          <w:numId w:val="2"/>
        </w:numPr>
      </w:pPr>
      <w:r>
        <w:t>R</w:t>
      </w:r>
      <w:r w:rsidR="00874658" w:rsidRPr="00874658">
        <w:t>espiratory distress showed a statistically significant effec</w:t>
      </w:r>
      <w:r>
        <w:t>t on survival - w</w:t>
      </w:r>
      <w:r w:rsidR="00874658" w:rsidRPr="00874658">
        <w:t>ithout respiratory distress showed a</w:t>
      </w:r>
      <w:r>
        <w:t xml:space="preserve"> MST of 466 days (very rare), with</w:t>
      </w:r>
      <w:r w:rsidR="00874658" w:rsidRPr="00874658">
        <w:t xml:space="preserve"> respira</w:t>
      </w:r>
      <w:r>
        <w:t xml:space="preserve">tory distress </w:t>
      </w:r>
      <w:r w:rsidR="00874658" w:rsidRPr="00874658">
        <w:t xml:space="preserve">MST of 64 days </w:t>
      </w:r>
      <w:r>
        <w:t xml:space="preserve">(range in other studies 1-4 </w:t>
      </w:r>
      <w:proofErr w:type="spellStart"/>
      <w:r>
        <w:t>mo</w:t>
      </w:r>
      <w:proofErr w:type="spellEnd"/>
      <w:r>
        <w:t>)</w:t>
      </w:r>
    </w:p>
    <w:p w:rsidR="00CC4CA0" w:rsidRDefault="00874658" w:rsidP="00CC4CA0">
      <w:pPr>
        <w:pStyle w:val="ListParagraph"/>
        <w:numPr>
          <w:ilvl w:val="0"/>
          <w:numId w:val="2"/>
        </w:numPr>
      </w:pPr>
      <w:r w:rsidRPr="00874658">
        <w:t>RCM is almost exclusively diagnosed at a late stage when cats are referred after the development of</w:t>
      </w:r>
      <w:r w:rsidR="00CC4CA0">
        <w:t xml:space="preserve"> clinical signs</w:t>
      </w:r>
    </w:p>
    <w:p w:rsidR="00CC4CA0" w:rsidRDefault="00CC4CA0" w:rsidP="00CC4CA0">
      <w:pPr>
        <w:pStyle w:val="ListParagraph"/>
        <w:numPr>
          <w:ilvl w:val="0"/>
          <w:numId w:val="2"/>
        </w:numPr>
      </w:pPr>
      <w:r>
        <w:t>L</w:t>
      </w:r>
      <w:r w:rsidR="00874658" w:rsidRPr="00874658">
        <w:t>ong-term pr</w:t>
      </w:r>
      <w:r>
        <w:t>ognosis is poor</w:t>
      </w:r>
    </w:p>
    <w:p w:rsidR="00CC4CA0" w:rsidRDefault="00874658" w:rsidP="00CC4CA0">
      <w:pPr>
        <w:pStyle w:val="ListParagraph"/>
        <w:numPr>
          <w:ilvl w:val="0"/>
          <w:numId w:val="2"/>
        </w:numPr>
      </w:pPr>
      <w:r w:rsidRPr="00874658">
        <w:t>RCM was the second mos</w:t>
      </w:r>
      <w:r w:rsidR="00CC4CA0">
        <w:t>t commonly diagnosed CM in cats in this population -</w:t>
      </w:r>
      <w:r w:rsidRPr="00874658">
        <w:t xml:space="preserve"> 10 year prevalence of 15% in all cats with CM </w:t>
      </w:r>
    </w:p>
    <w:p w:rsidR="00874658" w:rsidRDefault="00CC4CA0" w:rsidP="00CC4CA0">
      <w:pPr>
        <w:pStyle w:val="ListParagraph"/>
        <w:numPr>
          <w:ilvl w:val="0"/>
          <w:numId w:val="2"/>
        </w:numPr>
      </w:pPr>
      <w:r>
        <w:t>H</w:t>
      </w:r>
      <w:r w:rsidR="00874658" w:rsidRPr="00874658">
        <w:t>eart murmur was rarely identified in cats w</w:t>
      </w:r>
      <w:r>
        <w:t>ith RCM – consistent with</w:t>
      </w:r>
      <w:r w:rsidR="00874658" w:rsidRPr="00874658">
        <w:t xml:space="preserve"> lack of a hear</w:t>
      </w:r>
      <w:r>
        <w:t>t murmur i</w:t>
      </w:r>
      <w:r w:rsidR="00874658" w:rsidRPr="00874658">
        <w:t xml:space="preserve">s not a </w:t>
      </w:r>
      <w:r>
        <w:t>useful screening tool in cats</w:t>
      </w:r>
    </w:p>
    <w:p w:rsidR="00874658" w:rsidRDefault="00874658"/>
    <w:p w:rsidR="003370A2" w:rsidRDefault="003370A2"/>
    <w:p w:rsidR="003370A2" w:rsidRDefault="003370A2"/>
    <w:p w:rsidR="003370A2" w:rsidRDefault="003370A2">
      <w:r>
        <w:rPr>
          <w:noProof/>
        </w:rPr>
        <w:lastRenderedPageBreak/>
        <w:drawing>
          <wp:inline distT="0" distB="0" distL="0" distR="0" wp14:anchorId="52920CC5" wp14:editId="64907001">
            <wp:extent cx="5943600" cy="4888230"/>
            <wp:effectExtent l="19050" t="19050" r="19050" b="266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88230"/>
                    </a:xfrm>
                    <a:prstGeom prst="rect">
                      <a:avLst/>
                    </a:prstGeom>
                    <a:ln>
                      <a:solidFill>
                        <a:srgbClr val="92D050"/>
                      </a:solidFill>
                    </a:ln>
                  </pic:spPr>
                </pic:pic>
              </a:graphicData>
            </a:graphic>
          </wp:inline>
        </w:drawing>
      </w:r>
    </w:p>
    <w:p w:rsidR="003370A2" w:rsidRDefault="003370A2" w:rsidP="003370A2">
      <w:pPr>
        <w:pStyle w:val="ListParagraph"/>
        <w:numPr>
          <w:ilvl w:val="0"/>
          <w:numId w:val="2"/>
        </w:numPr>
      </w:pPr>
      <w:r>
        <w:t>Neuromuscular blocking agents (NMBAs) are commonly used to facilitate tracheal intubation in people - improves the quality of intubation and reduces the incidence of trauma</w:t>
      </w:r>
    </w:p>
    <w:p w:rsidR="003370A2" w:rsidRDefault="003370A2" w:rsidP="003370A2">
      <w:pPr>
        <w:pStyle w:val="ListParagraph"/>
        <w:numPr>
          <w:ilvl w:val="0"/>
          <w:numId w:val="2"/>
        </w:numPr>
      </w:pPr>
      <w:r>
        <w:t>Non-depolarizing NMBAs at the doses</w:t>
      </w:r>
      <w:r w:rsidR="00002E90">
        <w:t xml:space="preserve"> commonly used almost invariably</w:t>
      </w:r>
      <w:r>
        <w:t xml:space="preserve"> result in apnea of long duration – oxygen desaturation, PPV</w:t>
      </w:r>
      <w:r w:rsidR="00002E90">
        <w:t xml:space="preserve"> necessary </w:t>
      </w:r>
    </w:p>
    <w:p w:rsidR="003370A2" w:rsidRDefault="003370A2" w:rsidP="003370A2">
      <w:pPr>
        <w:pStyle w:val="ListParagraph"/>
        <w:numPr>
          <w:ilvl w:val="0"/>
          <w:numId w:val="2"/>
        </w:numPr>
      </w:pPr>
      <w:r>
        <w:t xml:space="preserve">Study looked to evaluate low dose </w:t>
      </w:r>
      <w:proofErr w:type="spellStart"/>
      <w:r>
        <w:t>rocuronium</w:t>
      </w:r>
      <w:proofErr w:type="spellEnd"/>
      <w:r>
        <w:t xml:space="preserve"> (0.3 mg/kg IV) for ease of intubation</w:t>
      </w:r>
    </w:p>
    <w:p w:rsidR="00A3313D" w:rsidRDefault="00A3313D" w:rsidP="00A3313D">
      <w:pPr>
        <w:pStyle w:val="ListParagraph"/>
        <w:numPr>
          <w:ilvl w:val="0"/>
          <w:numId w:val="2"/>
        </w:numPr>
      </w:pPr>
      <w:r>
        <w:t>N</w:t>
      </w:r>
      <w:r w:rsidR="003370A2">
        <w:t xml:space="preserve">umber of attempts to intubate and the time to intubate were significantly less in cats receiving </w:t>
      </w:r>
      <w:proofErr w:type="spellStart"/>
      <w:r>
        <w:t>rocuronium</w:t>
      </w:r>
      <w:proofErr w:type="spellEnd"/>
    </w:p>
    <w:p w:rsidR="00A3313D" w:rsidRDefault="003370A2" w:rsidP="003370A2">
      <w:pPr>
        <w:pStyle w:val="ListParagraph"/>
        <w:numPr>
          <w:ilvl w:val="0"/>
          <w:numId w:val="2"/>
        </w:numPr>
      </w:pPr>
      <w:r w:rsidRPr="003370A2">
        <w:t>PPV was admin</w:t>
      </w:r>
      <w:r w:rsidR="00A3313D">
        <w:t>istered for significantly longer time (~4 min) for cats</w:t>
      </w:r>
      <w:r w:rsidRPr="003370A2">
        <w:t xml:space="preserve"> re</w:t>
      </w:r>
      <w:r w:rsidR="00A3313D">
        <w:t xml:space="preserve">ceiving </w:t>
      </w:r>
      <w:proofErr w:type="spellStart"/>
      <w:r w:rsidR="00A3313D">
        <w:t>rocuronium</w:t>
      </w:r>
      <w:proofErr w:type="spellEnd"/>
      <w:r w:rsidR="00A3313D">
        <w:t xml:space="preserve"> </w:t>
      </w:r>
      <w:r w:rsidRPr="003370A2">
        <w:t>to tho</w:t>
      </w:r>
      <w:r w:rsidR="00A3313D">
        <w:t>se receiving saline control (~2min)</w:t>
      </w:r>
    </w:p>
    <w:p w:rsidR="00A3313D" w:rsidRDefault="003370A2" w:rsidP="003370A2">
      <w:pPr>
        <w:pStyle w:val="ListParagraph"/>
        <w:numPr>
          <w:ilvl w:val="0"/>
          <w:numId w:val="2"/>
        </w:numPr>
      </w:pPr>
      <w:r w:rsidRPr="003370A2">
        <w:t>PPV was required for all 15 cat</w:t>
      </w:r>
      <w:r w:rsidR="00B84D2B">
        <w:t xml:space="preserve">s receiving </w:t>
      </w:r>
      <w:proofErr w:type="spellStart"/>
      <w:r w:rsidR="00B84D2B">
        <w:t>rocuronium</w:t>
      </w:r>
      <w:proofErr w:type="spellEnd"/>
      <w:r w:rsidR="00B84D2B">
        <w:t xml:space="preserve"> and 7/15</w:t>
      </w:r>
      <w:r w:rsidRPr="003370A2">
        <w:t xml:space="preserve"> cats </w:t>
      </w:r>
      <w:r w:rsidR="00A3313D">
        <w:t>receiving saline</w:t>
      </w:r>
    </w:p>
    <w:p w:rsidR="003370A2" w:rsidRDefault="00A3313D" w:rsidP="003370A2">
      <w:pPr>
        <w:pStyle w:val="ListParagraph"/>
        <w:numPr>
          <w:ilvl w:val="0"/>
          <w:numId w:val="2"/>
        </w:numPr>
      </w:pPr>
      <w:r>
        <w:t>N</w:t>
      </w:r>
      <w:r w:rsidR="00B84D2B">
        <w:t>o cases of hypoxemia</w:t>
      </w:r>
      <w:r>
        <w:t xml:space="preserve"> (SpO2 &lt;90%) was observed</w:t>
      </w:r>
    </w:p>
    <w:p w:rsidR="003C0383" w:rsidRDefault="00A3313D" w:rsidP="00B84D2B">
      <w:pPr>
        <w:pStyle w:val="ListParagraph"/>
        <w:numPr>
          <w:ilvl w:val="0"/>
          <w:numId w:val="2"/>
        </w:numPr>
      </w:pPr>
      <w:r w:rsidRPr="00A3313D">
        <w:t>No cases of residual neuromuscula</w:t>
      </w:r>
      <w:r w:rsidR="003C0383">
        <w:t xml:space="preserve">r block were seen in recovery (all cats had </w:t>
      </w:r>
      <w:proofErr w:type="spellStart"/>
      <w:r w:rsidR="003C0383">
        <w:t>rocuronium</w:t>
      </w:r>
      <w:proofErr w:type="spellEnd"/>
      <w:r w:rsidR="003C0383">
        <w:t xml:space="preserve"> reversed with </w:t>
      </w:r>
      <w:proofErr w:type="spellStart"/>
      <w:r w:rsidR="003C0383">
        <w:t>edrophonium</w:t>
      </w:r>
      <w:proofErr w:type="spellEnd"/>
      <w:r w:rsidR="003C0383">
        <w:t xml:space="preserve"> after return of spontaneous ventilation during surgery – helps </w:t>
      </w:r>
      <w:r w:rsidR="003C0383" w:rsidRPr="003C0383">
        <w:t>decreases the occurrence of residual muscular weakness during em</w:t>
      </w:r>
      <w:r w:rsidR="003C0383">
        <w:t>ergence from general anesthesia)</w:t>
      </w:r>
    </w:p>
    <w:p w:rsidR="00B84D2B" w:rsidRDefault="00B84D2B" w:rsidP="00B84D2B">
      <w:pPr>
        <w:pStyle w:val="ListParagraph"/>
      </w:pPr>
    </w:p>
    <w:p w:rsidR="002B3411" w:rsidRDefault="002B3411">
      <w:r>
        <w:rPr>
          <w:noProof/>
        </w:rPr>
        <w:lastRenderedPageBreak/>
        <w:drawing>
          <wp:inline distT="0" distB="0" distL="0" distR="0" wp14:anchorId="204891A5" wp14:editId="056F1065">
            <wp:extent cx="5943600" cy="5140960"/>
            <wp:effectExtent l="38100" t="38100" r="38100" b="406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40960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accent1">
                            <a:lumMod val="5000"/>
                            <a:lumOff val="95000"/>
                          </a:schemeClr>
                        </a:gs>
                        <a:gs pos="74000">
                          <a:schemeClr val="accent1">
                            <a:lumMod val="45000"/>
                            <a:lumOff val="55000"/>
                          </a:schemeClr>
                        </a:gs>
                        <a:gs pos="83000">
                          <a:schemeClr val="accent1">
                            <a:lumMod val="45000"/>
                            <a:lumOff val="55000"/>
                          </a:schemeClr>
                        </a:gs>
                        <a:gs pos="100000">
                          <a:schemeClr val="accent1">
                            <a:lumMod val="30000"/>
                            <a:lumOff val="70000"/>
                          </a:schemeClr>
                        </a:gs>
                      </a:gsLst>
                      <a:lin ang="5400000" scaled="1"/>
                    </a:gradFill>
                    <a:effectLst>
                      <a:glow rad="25400">
                        <a:srgbClr val="FF0000"/>
                      </a:glow>
                    </a:effectLst>
                  </pic:spPr>
                </pic:pic>
              </a:graphicData>
            </a:graphic>
          </wp:inline>
        </w:drawing>
      </w:r>
    </w:p>
    <w:p w:rsidR="002B3411" w:rsidRDefault="002B3411"/>
    <w:p w:rsidR="00D4489B" w:rsidRDefault="00D4489B" w:rsidP="00D4489B">
      <w:pPr>
        <w:pStyle w:val="ListParagraph"/>
        <w:numPr>
          <w:ilvl w:val="0"/>
          <w:numId w:val="2"/>
        </w:numPr>
      </w:pPr>
      <w:proofErr w:type="spellStart"/>
      <w:r>
        <w:t>Benazapril</w:t>
      </w:r>
      <w:proofErr w:type="spellEnd"/>
      <w:r>
        <w:t xml:space="preserve"> has not been shown to improve survival benefit and lacks efficacy as an </w:t>
      </w:r>
      <w:proofErr w:type="spellStart"/>
      <w:r>
        <w:t>anti hypertensive</w:t>
      </w:r>
      <w:proofErr w:type="spellEnd"/>
      <w:r>
        <w:t xml:space="preserve"> agent in cats</w:t>
      </w:r>
    </w:p>
    <w:p w:rsidR="002B3411" w:rsidRDefault="00D4489B" w:rsidP="00D4489B">
      <w:pPr>
        <w:pStyle w:val="ListParagraph"/>
        <w:numPr>
          <w:ilvl w:val="0"/>
          <w:numId w:val="2"/>
        </w:numPr>
      </w:pPr>
      <w:proofErr w:type="spellStart"/>
      <w:r>
        <w:t>Telmisartan</w:t>
      </w:r>
      <w:proofErr w:type="spellEnd"/>
      <w:r>
        <w:t xml:space="preserve"> has been found to have </w:t>
      </w:r>
      <w:proofErr w:type="spellStart"/>
      <w:r w:rsidRPr="00D4489B">
        <w:t>antiproteinuric</w:t>
      </w:r>
      <w:proofErr w:type="spellEnd"/>
      <w:r w:rsidRPr="00D4489B">
        <w:t xml:space="preserve"> eff</w:t>
      </w:r>
      <w:r>
        <w:t>ects</w:t>
      </w:r>
      <w:r w:rsidRPr="00D4489B">
        <w:t xml:space="preserve"> non-inferior to  </w:t>
      </w:r>
      <w:r>
        <w:t>benazepril how</w:t>
      </w:r>
      <w:r w:rsidR="00002E90">
        <w:t>ever antihypertensive efficacy h</w:t>
      </w:r>
      <w:r>
        <w:t>as not</w:t>
      </w:r>
      <w:r w:rsidR="00002E90">
        <w:t xml:space="preserve"> been</w:t>
      </w:r>
      <w:r>
        <w:t xml:space="preserve"> evaluated</w:t>
      </w:r>
    </w:p>
    <w:p w:rsidR="00D4489B" w:rsidRDefault="00D4489B" w:rsidP="00D4489B">
      <w:pPr>
        <w:pStyle w:val="ListParagraph"/>
        <w:numPr>
          <w:ilvl w:val="0"/>
          <w:numId w:val="2"/>
        </w:numPr>
      </w:pPr>
      <w:r>
        <w:t xml:space="preserve">This study looked at BP effects of </w:t>
      </w:r>
      <w:proofErr w:type="spellStart"/>
      <w:r>
        <w:t>Telmisartan</w:t>
      </w:r>
      <w:proofErr w:type="spellEnd"/>
      <w:r>
        <w:t xml:space="preserve"> in healthy cats at different doses and dosing intervals compared to placebo</w:t>
      </w:r>
    </w:p>
    <w:p w:rsidR="00D4489B" w:rsidRDefault="00D4489B" w:rsidP="00D4489B">
      <w:pPr>
        <w:pStyle w:val="ListParagraph"/>
        <w:numPr>
          <w:ilvl w:val="0"/>
          <w:numId w:val="2"/>
        </w:numPr>
      </w:pPr>
      <w:r>
        <w:t>After week 1, the 1mg/kg/day and 1.5mg/kg/day did not significantly drop BP</w:t>
      </w:r>
      <w:r w:rsidR="00913E14">
        <w:t xml:space="preserve"> but other doses/intervals did</w:t>
      </w:r>
    </w:p>
    <w:p w:rsidR="00913E14" w:rsidRDefault="00913E14" w:rsidP="00D4489B">
      <w:pPr>
        <w:pStyle w:val="ListParagraph"/>
        <w:numPr>
          <w:ilvl w:val="0"/>
          <w:numId w:val="2"/>
        </w:numPr>
      </w:pPr>
      <w:r>
        <w:t xml:space="preserve">By week 2 </w:t>
      </w:r>
      <w:r w:rsidR="001E20B7">
        <w:t>all doses and intervals resulted in statistically significant decreases in BP compared to placebo</w:t>
      </w:r>
      <w:r w:rsidR="00002E90">
        <w:t>/baseline</w:t>
      </w:r>
      <w:bookmarkStart w:id="0" w:name="_GoBack"/>
      <w:bookmarkEnd w:id="0"/>
      <w:r w:rsidR="001E20B7">
        <w:t xml:space="preserve"> (25-37mmHg range decrease)</w:t>
      </w:r>
    </w:p>
    <w:p w:rsidR="001E20B7" w:rsidRDefault="001E20B7" w:rsidP="00D4489B">
      <w:pPr>
        <w:pStyle w:val="ListParagraph"/>
        <w:numPr>
          <w:ilvl w:val="0"/>
          <w:numId w:val="2"/>
        </w:numPr>
      </w:pPr>
      <w:r>
        <w:t>Greatest reduction in week 1 with &gt;2mg/kg/day doses</w:t>
      </w:r>
    </w:p>
    <w:p w:rsidR="001E20B7" w:rsidRDefault="001E20B7" w:rsidP="00D4489B">
      <w:pPr>
        <w:pStyle w:val="ListParagraph"/>
        <w:numPr>
          <w:ilvl w:val="0"/>
          <w:numId w:val="2"/>
        </w:numPr>
      </w:pPr>
      <w:r>
        <w:t xml:space="preserve">Testing in hypertensive cats needed; duration of BP control not tested in this study </w:t>
      </w:r>
    </w:p>
    <w:p w:rsidR="002B3411" w:rsidRDefault="002B3411"/>
    <w:p w:rsidR="001E20B7" w:rsidRDefault="001E20B7">
      <w:r>
        <w:rPr>
          <w:noProof/>
        </w:rPr>
        <w:lastRenderedPageBreak/>
        <w:drawing>
          <wp:inline distT="0" distB="0" distL="0" distR="0" wp14:anchorId="3DFE7463" wp14:editId="79FA4D09">
            <wp:extent cx="5943600" cy="4034155"/>
            <wp:effectExtent l="38100" t="38100" r="38100" b="425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34155"/>
                    </a:xfrm>
                    <a:prstGeom prst="rect">
                      <a:avLst/>
                    </a:prstGeom>
                    <a:effectLst>
                      <a:glow rad="25400">
                        <a:srgbClr val="00B0F0"/>
                      </a:glow>
                    </a:effectLst>
                  </pic:spPr>
                </pic:pic>
              </a:graphicData>
            </a:graphic>
          </wp:inline>
        </w:drawing>
      </w:r>
    </w:p>
    <w:p w:rsidR="006A1327" w:rsidRPr="006A1327" w:rsidRDefault="006A1327" w:rsidP="006A1327">
      <w:pPr>
        <w:pStyle w:val="ListParagraph"/>
        <w:numPr>
          <w:ilvl w:val="0"/>
          <w:numId w:val="2"/>
        </w:numPr>
        <w:rPr>
          <w:rFonts w:cstheme="minorHAnsi"/>
        </w:rPr>
      </w:pPr>
      <w:r>
        <w:t xml:space="preserve">Smaller diameter needle exerts higher shear forces as blood is collected </w:t>
      </w:r>
      <w:r>
        <w:sym w:font="Wingdings" w:char="F0E0"/>
      </w:r>
      <w:r>
        <w:t xml:space="preserve"> can activate both </w:t>
      </w:r>
      <w:r w:rsidRPr="006A1327">
        <w:rPr>
          <w:rFonts w:cstheme="minorHAnsi"/>
        </w:rPr>
        <w:t xml:space="preserve">platelets and coagulation factors </w:t>
      </w:r>
      <w:r w:rsidRPr="006A1327">
        <w:rPr>
          <w:rFonts w:cstheme="minorHAnsi"/>
        </w:rPr>
        <w:sym w:font="Wingdings" w:char="F0E0"/>
      </w:r>
      <w:r w:rsidRPr="006A1327">
        <w:rPr>
          <w:rFonts w:cstheme="minorHAnsi"/>
        </w:rPr>
        <w:t xml:space="preserve"> coagulation variables and platelet count may be altered</w:t>
      </w:r>
    </w:p>
    <w:p w:rsidR="006A1327" w:rsidRPr="006A1327" w:rsidRDefault="006A1327" w:rsidP="006A1327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r w:rsidRPr="006A1327">
        <w:rPr>
          <w:rFonts w:cstheme="minorHAnsi"/>
        </w:rPr>
        <w:t xml:space="preserve">Humans - platelet count but not PT or </w:t>
      </w:r>
      <w:proofErr w:type="spellStart"/>
      <w:r w:rsidRPr="006A1327">
        <w:rPr>
          <w:rFonts w:cstheme="minorHAnsi"/>
        </w:rPr>
        <w:t>aPTT</w:t>
      </w:r>
      <w:proofErr w:type="spellEnd"/>
      <w:r w:rsidRPr="006A1327">
        <w:rPr>
          <w:rFonts w:cstheme="minorHAnsi"/>
        </w:rPr>
        <w:t xml:space="preserve"> has been shown to differ with varying needle sizes; dogs no differences with 21, 21, 25g needles</w:t>
      </w:r>
    </w:p>
    <w:p w:rsidR="006A1327" w:rsidRDefault="006A1327" w:rsidP="006A1327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r w:rsidRPr="006A1327">
        <w:rPr>
          <w:rFonts w:cstheme="minorHAnsi"/>
        </w:rPr>
        <w:t xml:space="preserve">Cat platelets have greater </w:t>
      </w:r>
      <w:proofErr w:type="spellStart"/>
      <w:r w:rsidRPr="006A1327">
        <w:rPr>
          <w:rFonts w:cstheme="minorHAnsi"/>
        </w:rPr>
        <w:t>aggregability</w:t>
      </w:r>
      <w:proofErr w:type="spellEnd"/>
      <w:r w:rsidRPr="006A1327">
        <w:rPr>
          <w:rFonts w:cstheme="minorHAnsi"/>
        </w:rPr>
        <w:t xml:space="preserve"> in response to shear stress</w:t>
      </w:r>
      <w:proofErr w:type="gramStart"/>
      <w:r w:rsidRPr="006A1327">
        <w:rPr>
          <w:rFonts w:cstheme="minorHAnsi"/>
        </w:rPr>
        <w:t>-  will</w:t>
      </w:r>
      <w:proofErr w:type="gramEnd"/>
      <w:r w:rsidRPr="006A1327">
        <w:rPr>
          <w:rFonts w:cstheme="minorHAnsi"/>
        </w:rPr>
        <w:t xml:space="preserve"> various needle sizes will affect tests of hemostasis in cats</w:t>
      </w:r>
      <w:r>
        <w:rPr>
          <w:rFonts w:cstheme="minorHAnsi"/>
        </w:rPr>
        <w:t xml:space="preserve"> (22 vs 25g)</w:t>
      </w:r>
      <w:r w:rsidRPr="006A1327">
        <w:rPr>
          <w:rFonts w:cstheme="minorHAnsi"/>
        </w:rPr>
        <w:t>?</w:t>
      </w:r>
    </w:p>
    <w:p w:rsidR="006A1327" w:rsidRPr="006A1327" w:rsidRDefault="006A1327" w:rsidP="006A1327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r>
        <w:rPr>
          <w:rFonts w:cstheme="minorHAnsi"/>
        </w:rPr>
        <w:t>N</w:t>
      </w:r>
      <w:r w:rsidRPr="006A1327">
        <w:rPr>
          <w:rFonts w:cstheme="minorHAnsi"/>
        </w:rPr>
        <w:t>o difference b</w:t>
      </w:r>
      <w:r>
        <w:rPr>
          <w:rFonts w:cstheme="minorHAnsi"/>
        </w:rPr>
        <w:t>etween the two needle gauges</w:t>
      </w:r>
      <w:r w:rsidRPr="006A1327">
        <w:rPr>
          <w:rFonts w:cstheme="minorHAnsi"/>
        </w:rPr>
        <w:t xml:space="preserve"> for platelet count, proportion of samples with platelet clum</w:t>
      </w:r>
      <w:r>
        <w:rPr>
          <w:rFonts w:cstheme="minorHAnsi"/>
        </w:rPr>
        <w:t xml:space="preserve">ping, </w:t>
      </w:r>
      <w:proofErr w:type="spellStart"/>
      <w:r>
        <w:rPr>
          <w:rFonts w:cstheme="minorHAnsi"/>
        </w:rPr>
        <w:t>aPTT</w:t>
      </w:r>
      <w:proofErr w:type="spellEnd"/>
      <w:r>
        <w:rPr>
          <w:rFonts w:cstheme="minorHAnsi"/>
        </w:rPr>
        <w:t>, FDPs or fibrinogen, PT</w:t>
      </w:r>
    </w:p>
    <w:p w:rsidR="006A1327" w:rsidRDefault="006A1327" w:rsidP="006A1327">
      <w:pPr>
        <w:rPr>
          <w:rFonts w:cstheme="minorHAnsi"/>
        </w:rPr>
      </w:pPr>
    </w:p>
    <w:p w:rsidR="006A1327" w:rsidRDefault="006A1327" w:rsidP="006A1327">
      <w:pPr>
        <w:rPr>
          <w:rFonts w:cstheme="minorHAnsi"/>
        </w:rPr>
      </w:pPr>
      <w:r>
        <w:rPr>
          <w:noProof/>
        </w:rPr>
        <w:lastRenderedPageBreak/>
        <w:drawing>
          <wp:inline distT="0" distB="0" distL="0" distR="0" wp14:anchorId="08D3EF5A" wp14:editId="174D8D82">
            <wp:extent cx="5943600" cy="3884295"/>
            <wp:effectExtent l="38100" t="38100" r="38100" b="400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84295"/>
                    </a:xfrm>
                    <a:prstGeom prst="rect">
                      <a:avLst/>
                    </a:prstGeom>
                    <a:noFill/>
                    <a:ln>
                      <a:gradFill>
                        <a:gsLst>
                          <a:gs pos="0">
                            <a:schemeClr val="accent1">
                              <a:lumMod val="5000"/>
                              <a:lumOff val="95000"/>
                            </a:schemeClr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5400000" scaled="1"/>
                      </a:gradFill>
                    </a:ln>
                    <a:effectLst>
                      <a:glow rad="12700">
                        <a:srgbClr val="92D050"/>
                      </a:glow>
                      <a:softEdge rad="25400"/>
                    </a:effectLst>
                  </pic:spPr>
                </pic:pic>
              </a:graphicData>
            </a:graphic>
          </wp:inline>
        </w:drawing>
      </w:r>
    </w:p>
    <w:p w:rsidR="00257C1A" w:rsidRDefault="00257C1A" w:rsidP="00257C1A">
      <w:pPr>
        <w:pStyle w:val="ListParagraph"/>
        <w:numPr>
          <w:ilvl w:val="0"/>
          <w:numId w:val="2"/>
        </w:numPr>
        <w:rPr>
          <w:rFonts w:cstheme="minorHAnsi"/>
        </w:rPr>
      </w:pPr>
      <w:r w:rsidRPr="00257C1A">
        <w:rPr>
          <w:rFonts w:cstheme="minorHAnsi"/>
        </w:rPr>
        <w:t>Minor complications were noted for nine arterial catheters (n = 9/38; 23.7%) of whic</w:t>
      </w:r>
      <w:r>
        <w:rPr>
          <w:rFonts w:cstheme="minorHAnsi"/>
        </w:rPr>
        <w:t>h all were catheter occlusion</w:t>
      </w:r>
    </w:p>
    <w:p w:rsidR="006A1327" w:rsidRPr="006A1327" w:rsidRDefault="00257C1A" w:rsidP="00257C1A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O</w:t>
      </w:r>
      <w:r w:rsidRPr="00257C1A">
        <w:rPr>
          <w:rFonts w:cstheme="minorHAnsi"/>
        </w:rPr>
        <w:t xml:space="preserve">ne major complication was noted, with one cat suffering ischemic injury secondary to a coccygeal arterial catheter resulting </w:t>
      </w:r>
      <w:r>
        <w:rPr>
          <w:rFonts w:cstheme="minorHAnsi"/>
        </w:rPr>
        <w:t>in tail amputation (1/38; 2.6%)</w:t>
      </w:r>
    </w:p>
    <w:p w:rsidR="001E20B7" w:rsidRDefault="001E20B7"/>
    <w:p w:rsidR="001E20B7" w:rsidRDefault="001E20B7"/>
    <w:p w:rsidR="002F6264" w:rsidRDefault="00A01BB7">
      <w:r>
        <w:t>Reviews (Jan 2019):</w:t>
      </w:r>
    </w:p>
    <w:p w:rsidR="002F6264" w:rsidRDefault="002F6264" w:rsidP="002F6264">
      <w:pPr>
        <w:pStyle w:val="ListParagraph"/>
        <w:numPr>
          <w:ilvl w:val="0"/>
          <w:numId w:val="1"/>
        </w:numPr>
      </w:pPr>
      <w:r>
        <w:t xml:space="preserve">HYPERTENSIVE OCULAR DISEASE IN CATS A guide to </w:t>
      </w:r>
      <w:proofErr w:type="spellStart"/>
      <w:r>
        <w:t>fundic</w:t>
      </w:r>
      <w:proofErr w:type="spellEnd"/>
      <w:r>
        <w:t xml:space="preserve"> lesions to facilitate early diagnosis</w:t>
      </w:r>
    </w:p>
    <w:p w:rsidR="00A01BB7" w:rsidRDefault="00A01BB7" w:rsidP="002F6264">
      <w:pPr>
        <w:pStyle w:val="ListParagraph"/>
        <w:numPr>
          <w:ilvl w:val="0"/>
          <w:numId w:val="1"/>
        </w:numPr>
      </w:pPr>
      <w:r>
        <w:t>ACUTE PAIN IN CATS Recent advances in clinical assessment</w:t>
      </w:r>
    </w:p>
    <w:sectPr w:rsidR="00A01B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B5A9C"/>
    <w:multiLevelType w:val="hybridMultilevel"/>
    <w:tmpl w:val="964082A2"/>
    <w:lvl w:ilvl="0" w:tplc="577489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2B71D5"/>
    <w:multiLevelType w:val="hybridMultilevel"/>
    <w:tmpl w:val="64F46D24"/>
    <w:lvl w:ilvl="0" w:tplc="777083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264"/>
    <w:rsid w:val="00002E90"/>
    <w:rsid w:val="00133E21"/>
    <w:rsid w:val="001E20B7"/>
    <w:rsid w:val="00257C1A"/>
    <w:rsid w:val="002B3411"/>
    <w:rsid w:val="002F6264"/>
    <w:rsid w:val="003370A2"/>
    <w:rsid w:val="003C0383"/>
    <w:rsid w:val="003F7FF6"/>
    <w:rsid w:val="00680C37"/>
    <w:rsid w:val="006A1327"/>
    <w:rsid w:val="006E5F8E"/>
    <w:rsid w:val="00874658"/>
    <w:rsid w:val="00913E14"/>
    <w:rsid w:val="00A01BB7"/>
    <w:rsid w:val="00A3313D"/>
    <w:rsid w:val="00B84D2B"/>
    <w:rsid w:val="00CC4CA0"/>
    <w:rsid w:val="00D4489B"/>
    <w:rsid w:val="00DF3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67E52D-7FD6-4732-BF5F-25A47BA28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626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A1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97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6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Gradilla</dc:creator>
  <cp:keywords/>
  <dc:description/>
  <cp:lastModifiedBy>Sarah Gradilla</cp:lastModifiedBy>
  <cp:revision>3</cp:revision>
  <dcterms:created xsi:type="dcterms:W3CDTF">2019-01-25T16:44:00Z</dcterms:created>
  <dcterms:modified xsi:type="dcterms:W3CDTF">2019-02-14T15:56:00Z</dcterms:modified>
</cp:coreProperties>
</file>