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A86" w:rsidRPr="007D32FE" w:rsidRDefault="007D32FE">
      <w:pPr>
        <w:rPr>
          <w:rFonts w:ascii="Arial" w:hAnsi="Arial" w:cs="Arial"/>
          <w:b/>
          <w:u w:val="single"/>
        </w:rPr>
      </w:pPr>
      <w:r w:rsidRPr="007D32FE">
        <w:rPr>
          <w:rFonts w:ascii="Arial" w:hAnsi="Arial" w:cs="Arial"/>
          <w:b/>
          <w:noProof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3004750</wp:posOffset>
            </wp:positionH>
            <wp:positionV relativeFrom="paragraph">
              <wp:posOffset>4372849</wp:posOffset>
            </wp:positionV>
            <wp:extent cx="3227070" cy="1754505"/>
            <wp:effectExtent l="0" t="0" r="0" b="0"/>
            <wp:wrapTight wrapText="bothSides">
              <wp:wrapPolygon edited="0">
                <wp:start x="0" y="0"/>
                <wp:lineTo x="0" y="21342"/>
                <wp:lineTo x="21421" y="21342"/>
                <wp:lineTo x="2142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07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49A7" w:rsidRPr="007D32FE">
        <w:rPr>
          <w:rFonts w:ascii="Arial" w:hAnsi="Arial" w:cs="Arial"/>
          <w:b/>
          <w:u w:val="single"/>
        </w:rPr>
        <w:t>Journal Feline Medicine &amp; Surgery – Feb 14 – April 4 2019</w:t>
      </w:r>
    </w:p>
    <w:p w:rsidR="005849A7" w:rsidRDefault="005849A7">
      <w:r>
        <w:rPr>
          <w:noProof/>
        </w:rPr>
        <w:drawing>
          <wp:inline distT="0" distB="0" distL="0" distR="0" wp14:anchorId="3062EE89" wp14:editId="09CD7473">
            <wp:extent cx="4680642" cy="408506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0642" cy="40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9A7" w:rsidRDefault="005849A7" w:rsidP="005849A7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Can r</w:t>
      </w:r>
      <w:r w:rsidRPr="005849A7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sult from HBC, </w:t>
      </w:r>
      <w:r w:rsidRPr="005849A7">
        <w:rPr>
          <w:rFonts w:ascii="Arial" w:hAnsi="Arial" w:cs="Arial"/>
          <w:sz w:val="20"/>
          <w:szCs w:val="20"/>
        </w:rPr>
        <w:t>fight</w:t>
      </w:r>
      <w:r>
        <w:rPr>
          <w:rFonts w:ascii="Arial" w:hAnsi="Arial" w:cs="Arial"/>
          <w:sz w:val="20"/>
          <w:szCs w:val="20"/>
        </w:rPr>
        <w:t>,</w:t>
      </w:r>
      <w:r w:rsidRPr="005849A7">
        <w:rPr>
          <w:rFonts w:ascii="Arial" w:hAnsi="Arial" w:cs="Arial"/>
          <w:sz w:val="20"/>
          <w:szCs w:val="20"/>
        </w:rPr>
        <w:t xml:space="preserve"> or a fall from </w:t>
      </w:r>
      <w:r>
        <w:rPr>
          <w:rFonts w:ascii="Arial" w:hAnsi="Arial" w:cs="Arial"/>
          <w:sz w:val="20"/>
          <w:szCs w:val="20"/>
        </w:rPr>
        <w:t>a height (high-rise syndrome)</w:t>
      </w:r>
    </w:p>
    <w:p w:rsidR="005849A7" w:rsidRDefault="005849A7" w:rsidP="005849A7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</w:t>
      </w:r>
      <w:r w:rsidRPr="005849A7">
        <w:rPr>
          <w:rFonts w:ascii="Arial" w:hAnsi="Arial" w:cs="Arial"/>
          <w:sz w:val="20"/>
          <w:szCs w:val="20"/>
        </w:rPr>
        <w:t xml:space="preserve"> insufficient to accurately classify maxillofacial injurie</w:t>
      </w:r>
      <w:r>
        <w:rPr>
          <w:rFonts w:ascii="Arial" w:hAnsi="Arial" w:cs="Arial"/>
          <w:sz w:val="20"/>
          <w:szCs w:val="20"/>
        </w:rPr>
        <w:t>s</w:t>
      </w:r>
    </w:p>
    <w:p w:rsidR="005849A7" w:rsidRDefault="005849A7" w:rsidP="005849A7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CT imaging superior to XR - </w:t>
      </w:r>
      <w:r w:rsidRPr="005849A7">
        <w:rPr>
          <w:rFonts w:ascii="Arial" w:hAnsi="Arial" w:cs="Arial"/>
          <w:sz w:val="20"/>
          <w:szCs w:val="20"/>
        </w:rPr>
        <w:t>incidence and distrib</w:t>
      </w:r>
      <w:r>
        <w:rPr>
          <w:rFonts w:ascii="Arial" w:hAnsi="Arial" w:cs="Arial"/>
          <w:sz w:val="20"/>
          <w:szCs w:val="20"/>
        </w:rPr>
        <w:t>ution of facial fractures may help</w:t>
      </w:r>
      <w:r w:rsidRPr="005849A7">
        <w:rPr>
          <w:rFonts w:ascii="Arial" w:hAnsi="Arial" w:cs="Arial"/>
          <w:sz w:val="20"/>
          <w:szCs w:val="20"/>
        </w:rPr>
        <w:t xml:space="preserve"> develop an understanding of the most appropriate diagnostic and treatm</w:t>
      </w:r>
      <w:r>
        <w:rPr>
          <w:rFonts w:ascii="Arial" w:hAnsi="Arial" w:cs="Arial"/>
          <w:sz w:val="20"/>
          <w:szCs w:val="20"/>
        </w:rPr>
        <w:t>ent options for these patients</w:t>
      </w:r>
    </w:p>
    <w:p w:rsidR="005849A7" w:rsidRDefault="005849A7" w:rsidP="005849A7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5849A7">
        <w:rPr>
          <w:rFonts w:ascii="Arial" w:hAnsi="Arial" w:cs="Arial"/>
          <w:sz w:val="20"/>
          <w:szCs w:val="20"/>
        </w:rPr>
        <w:t>etrospective study</w:t>
      </w:r>
      <w:r>
        <w:rPr>
          <w:rFonts w:ascii="Arial" w:hAnsi="Arial" w:cs="Arial"/>
          <w:sz w:val="20"/>
          <w:szCs w:val="20"/>
        </w:rPr>
        <w:t xml:space="preserve"> - describes the location,</w:t>
      </w:r>
      <w:r w:rsidRPr="005849A7">
        <w:rPr>
          <w:rFonts w:ascii="Arial" w:hAnsi="Arial" w:cs="Arial"/>
          <w:sz w:val="20"/>
          <w:szCs w:val="20"/>
        </w:rPr>
        <w:t xml:space="preserve"> distribution</w:t>
      </w:r>
      <w:r>
        <w:rPr>
          <w:rFonts w:ascii="Arial" w:hAnsi="Arial" w:cs="Arial"/>
          <w:sz w:val="20"/>
          <w:szCs w:val="20"/>
        </w:rPr>
        <w:t xml:space="preserve">, fracture pattern, and </w:t>
      </w:r>
      <w:r w:rsidRPr="005849A7">
        <w:rPr>
          <w:rFonts w:ascii="Arial" w:hAnsi="Arial" w:cs="Arial"/>
          <w:sz w:val="20"/>
          <w:szCs w:val="20"/>
        </w:rPr>
        <w:t xml:space="preserve">correlation of the </w:t>
      </w:r>
      <w:r>
        <w:rPr>
          <w:rFonts w:ascii="Arial" w:hAnsi="Arial" w:cs="Arial"/>
          <w:sz w:val="20"/>
          <w:szCs w:val="20"/>
        </w:rPr>
        <w:t>with</w:t>
      </w:r>
      <w:r w:rsidRPr="005849A7">
        <w:rPr>
          <w:rFonts w:ascii="Arial" w:hAnsi="Arial" w:cs="Arial"/>
          <w:sz w:val="20"/>
          <w:szCs w:val="20"/>
        </w:rPr>
        <w:t xml:space="preserve"> functional regions and associated ophthalmic and dental injuries in 45 cats </w:t>
      </w:r>
    </w:p>
    <w:p w:rsidR="005849A7" w:rsidRDefault="005849A7" w:rsidP="005849A7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RESULTS: </w:t>
      </w:r>
    </w:p>
    <w:p w:rsidR="005849A7" w:rsidRDefault="005849A7" w:rsidP="005849A7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HBC most common injury causing fracture</w:t>
      </w:r>
    </w:p>
    <w:p w:rsidR="005849A7" w:rsidRDefault="005849A7" w:rsidP="005849A7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49A7">
        <w:rPr>
          <w:rFonts w:ascii="Arial" w:hAnsi="Arial" w:cs="Arial"/>
          <w:sz w:val="20"/>
          <w:szCs w:val="20"/>
        </w:rPr>
        <w:t xml:space="preserve">80.0% </w:t>
      </w:r>
      <w:r>
        <w:rPr>
          <w:rFonts w:ascii="Arial" w:hAnsi="Arial" w:cs="Arial"/>
          <w:sz w:val="20"/>
          <w:szCs w:val="20"/>
        </w:rPr>
        <w:t>of cats in study had skull fractures (with 81% being bilateral) and 86.7% had mandibular fractures (18% bilateral)</w:t>
      </w:r>
    </w:p>
    <w:p w:rsidR="005849A7" w:rsidRDefault="005849A7" w:rsidP="005849A7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Medium 8 fractures per cat</w:t>
      </w:r>
    </w:p>
    <w:p w:rsidR="007D32FE" w:rsidRDefault="007D32FE" w:rsidP="007D32FE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Skull fracture - f</w:t>
      </w:r>
      <w:r w:rsidRPr="007D32FE">
        <w:rPr>
          <w:rFonts w:ascii="Arial" w:hAnsi="Arial" w:cs="Arial"/>
          <w:sz w:val="20"/>
          <w:szCs w:val="20"/>
        </w:rPr>
        <w:t>ractures to the ‘mid-face’ region were</w:t>
      </w:r>
      <w:r>
        <w:rPr>
          <w:rFonts w:ascii="Arial" w:hAnsi="Arial" w:cs="Arial"/>
          <w:sz w:val="20"/>
          <w:szCs w:val="20"/>
        </w:rPr>
        <w:t xml:space="preserve"> most common (</w:t>
      </w:r>
      <w:r w:rsidRPr="007D32FE">
        <w:rPr>
          <w:rFonts w:ascii="Arial" w:hAnsi="Arial" w:cs="Arial"/>
          <w:sz w:val="20"/>
          <w:szCs w:val="20"/>
        </w:rPr>
        <w:t xml:space="preserve">nasopharynx (68.9%), orbit (68.9%), nose (51.1%), upper jaw (51.1%), </w:t>
      </w:r>
      <w:proofErr w:type="spellStart"/>
      <w:r w:rsidRPr="007D32FE">
        <w:rPr>
          <w:rFonts w:ascii="Arial" w:hAnsi="Arial" w:cs="Arial"/>
          <w:sz w:val="20"/>
          <w:szCs w:val="20"/>
        </w:rPr>
        <w:t>intermaxillary</w:t>
      </w:r>
      <w:proofErr w:type="spellEnd"/>
      <w:r w:rsidRPr="007D32FE">
        <w:rPr>
          <w:rFonts w:ascii="Arial" w:hAnsi="Arial" w:cs="Arial"/>
          <w:sz w:val="20"/>
          <w:szCs w:val="20"/>
        </w:rPr>
        <w:t xml:space="preserve"> suture (44.</w:t>
      </w:r>
      <w:r>
        <w:rPr>
          <w:rFonts w:ascii="Arial" w:hAnsi="Arial" w:cs="Arial"/>
          <w:sz w:val="20"/>
          <w:szCs w:val="20"/>
        </w:rPr>
        <w:t xml:space="preserve">4%) and zygomatic arch (33.3%)) </w:t>
      </w:r>
    </w:p>
    <w:p w:rsidR="007D32FE" w:rsidRDefault="007D32FE" w:rsidP="007D32FE">
      <w:pPr>
        <w:pStyle w:val="ListParagraph"/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Fractures in these region likely to be bilateral and</w:t>
      </w:r>
      <w:r w:rsidRPr="007D32FE">
        <w:rPr>
          <w:rFonts w:ascii="Arial" w:hAnsi="Arial" w:cs="Arial"/>
          <w:sz w:val="20"/>
          <w:szCs w:val="20"/>
        </w:rPr>
        <w:t xml:space="preserve"> occur together</w:t>
      </w:r>
    </w:p>
    <w:p w:rsidR="007D32FE" w:rsidRDefault="005849A7" w:rsidP="007D32FE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a cat had a </w:t>
      </w:r>
      <w:r w:rsidR="007D32FE">
        <w:rPr>
          <w:rFonts w:ascii="Arial" w:hAnsi="Arial" w:cs="Arial"/>
          <w:sz w:val="20"/>
          <w:szCs w:val="20"/>
        </w:rPr>
        <w:t xml:space="preserve">mandibular </w:t>
      </w:r>
      <w:proofErr w:type="spellStart"/>
      <w:r w:rsidR="007D32FE">
        <w:rPr>
          <w:rFonts w:ascii="Arial" w:hAnsi="Arial" w:cs="Arial"/>
          <w:sz w:val="20"/>
          <w:szCs w:val="20"/>
        </w:rPr>
        <w:t>symphyseal</w:t>
      </w:r>
      <w:proofErr w:type="spellEnd"/>
      <w:r w:rsidR="007D32FE">
        <w:rPr>
          <w:rFonts w:ascii="Arial" w:hAnsi="Arial" w:cs="Arial"/>
          <w:sz w:val="20"/>
          <w:szCs w:val="20"/>
        </w:rPr>
        <w:t xml:space="preserve"> or </w:t>
      </w:r>
      <w:proofErr w:type="spellStart"/>
      <w:r w:rsidR="007D32FE">
        <w:rPr>
          <w:rFonts w:ascii="Arial" w:hAnsi="Arial" w:cs="Arial"/>
          <w:sz w:val="20"/>
          <w:szCs w:val="20"/>
        </w:rPr>
        <w:t>parasymphyseal</w:t>
      </w:r>
      <w:proofErr w:type="spellEnd"/>
      <w:r>
        <w:rPr>
          <w:rFonts w:ascii="Arial" w:hAnsi="Arial" w:cs="Arial"/>
          <w:sz w:val="20"/>
          <w:szCs w:val="20"/>
        </w:rPr>
        <w:t xml:space="preserve"> fracture there was</w:t>
      </w:r>
      <w:r w:rsidRPr="005849A7">
        <w:rPr>
          <w:rFonts w:ascii="Arial" w:hAnsi="Arial" w:cs="Arial"/>
          <w:sz w:val="20"/>
          <w:szCs w:val="20"/>
        </w:rPr>
        <w:t xml:space="preserve"> an 84.6% chance of another </w:t>
      </w:r>
      <w:r>
        <w:rPr>
          <w:rFonts w:ascii="Arial" w:hAnsi="Arial" w:cs="Arial"/>
          <w:sz w:val="20"/>
          <w:szCs w:val="20"/>
        </w:rPr>
        <w:t xml:space="preserve">mandibular </w:t>
      </w:r>
      <w:r w:rsidRPr="005849A7">
        <w:rPr>
          <w:rFonts w:ascii="Arial" w:hAnsi="Arial" w:cs="Arial"/>
          <w:sz w:val="20"/>
          <w:szCs w:val="20"/>
        </w:rPr>
        <w:t>fract</w:t>
      </w:r>
      <w:r>
        <w:rPr>
          <w:rFonts w:ascii="Arial" w:hAnsi="Arial" w:cs="Arial"/>
          <w:sz w:val="20"/>
          <w:szCs w:val="20"/>
        </w:rPr>
        <w:t xml:space="preserve">ure and a </w:t>
      </w:r>
      <w:r w:rsidRPr="005849A7">
        <w:rPr>
          <w:rFonts w:ascii="Arial" w:hAnsi="Arial" w:cs="Arial"/>
          <w:sz w:val="20"/>
          <w:szCs w:val="20"/>
        </w:rPr>
        <w:t>73.1% chance of a fra</w:t>
      </w:r>
      <w:r>
        <w:rPr>
          <w:rFonts w:ascii="Arial" w:hAnsi="Arial" w:cs="Arial"/>
          <w:sz w:val="20"/>
          <w:szCs w:val="20"/>
        </w:rPr>
        <w:t>cture in the skull</w:t>
      </w:r>
    </w:p>
    <w:p w:rsidR="007D32FE" w:rsidRDefault="007D32FE" w:rsidP="007D32FE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2E9C6E6" wp14:editId="5CE23205">
            <wp:extent cx="5366447" cy="4716855"/>
            <wp:effectExtent l="0" t="0" r="571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3584" cy="473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2FE" w:rsidRDefault="007D32FE" w:rsidP="007D32FE">
      <w:pPr>
        <w:rPr>
          <w:rFonts w:ascii="Arial" w:hAnsi="Arial" w:cs="Arial"/>
          <w:sz w:val="20"/>
          <w:szCs w:val="20"/>
        </w:rPr>
      </w:pPr>
    </w:p>
    <w:p w:rsidR="007D32FE" w:rsidRDefault="007D32FE" w:rsidP="007D32FE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D32FE">
        <w:rPr>
          <w:rFonts w:ascii="Arial" w:hAnsi="Arial" w:cs="Arial"/>
          <w:sz w:val="20"/>
          <w:szCs w:val="20"/>
        </w:rPr>
        <w:t>Uncontrolled</w:t>
      </w:r>
      <w:r>
        <w:rPr>
          <w:rFonts w:ascii="Arial" w:hAnsi="Arial" w:cs="Arial"/>
          <w:sz w:val="20"/>
          <w:szCs w:val="20"/>
        </w:rPr>
        <w:t xml:space="preserve"> pain is detrimental - QOL</w:t>
      </w:r>
      <w:r w:rsidRPr="007D32FE">
        <w:rPr>
          <w:rFonts w:ascii="Arial" w:hAnsi="Arial" w:cs="Arial"/>
          <w:sz w:val="20"/>
          <w:szCs w:val="20"/>
        </w:rPr>
        <w:t>, increases in cor</w:t>
      </w:r>
      <w:r>
        <w:rPr>
          <w:rFonts w:ascii="Arial" w:hAnsi="Arial" w:cs="Arial"/>
          <w:sz w:val="20"/>
          <w:szCs w:val="20"/>
        </w:rPr>
        <w:t xml:space="preserve">tisol and catecholamines </w:t>
      </w:r>
      <w:r w:rsidRPr="007D32FE">
        <w:rPr>
          <w:rFonts w:ascii="Arial" w:hAnsi="Arial" w:cs="Arial"/>
          <w:sz w:val="20"/>
          <w:szCs w:val="20"/>
        </w:rPr>
        <w:sym w:font="Wingdings" w:char="F0E0"/>
      </w:r>
      <w:r w:rsidRPr="007D32FE">
        <w:rPr>
          <w:rFonts w:ascii="Arial" w:hAnsi="Arial" w:cs="Arial"/>
          <w:sz w:val="20"/>
          <w:szCs w:val="20"/>
        </w:rPr>
        <w:t>predispose to tissue edema, ischemia, hyperglycemia, infect</w:t>
      </w:r>
      <w:r>
        <w:rPr>
          <w:rFonts w:ascii="Arial" w:hAnsi="Arial" w:cs="Arial"/>
          <w:sz w:val="20"/>
          <w:szCs w:val="20"/>
        </w:rPr>
        <w:t>ion and impaired wound healing</w:t>
      </w:r>
    </w:p>
    <w:p w:rsidR="007D32FE" w:rsidRDefault="007D32FE" w:rsidP="007D32FE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D32FE">
        <w:rPr>
          <w:rFonts w:ascii="Arial" w:hAnsi="Arial" w:cs="Arial"/>
          <w:sz w:val="20"/>
          <w:szCs w:val="20"/>
        </w:rPr>
        <w:t>Behavioral signs of</w:t>
      </w:r>
      <w:r>
        <w:rPr>
          <w:rFonts w:ascii="Arial" w:hAnsi="Arial" w:cs="Arial"/>
          <w:sz w:val="20"/>
          <w:szCs w:val="20"/>
        </w:rPr>
        <w:t xml:space="preserve"> acute pain in cats: </w:t>
      </w:r>
      <w:r w:rsidRPr="007D32FE">
        <w:rPr>
          <w:rFonts w:ascii="Arial" w:hAnsi="Arial" w:cs="Arial"/>
          <w:sz w:val="20"/>
          <w:szCs w:val="20"/>
        </w:rPr>
        <w:t>depression, immobility, remaining in a hunched position with the head down, guarding behaviors, attempting to escape, squinting of the eyes, hissing, growling, and resistance t</w:t>
      </w:r>
      <w:r>
        <w:rPr>
          <w:rFonts w:ascii="Arial" w:hAnsi="Arial" w:cs="Arial"/>
          <w:sz w:val="20"/>
          <w:szCs w:val="20"/>
        </w:rPr>
        <w:t>o palpation or handling</w:t>
      </w:r>
    </w:p>
    <w:p w:rsidR="007D32FE" w:rsidRDefault="007D32FE" w:rsidP="007D32FE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May also</w:t>
      </w:r>
      <w:r w:rsidRPr="007D32FE">
        <w:rPr>
          <w:rFonts w:ascii="Arial" w:hAnsi="Arial" w:cs="Arial"/>
          <w:sz w:val="20"/>
          <w:szCs w:val="20"/>
        </w:rPr>
        <w:t xml:space="preserve"> appear very similar to signs of distress </w:t>
      </w:r>
      <w:r>
        <w:rPr>
          <w:rFonts w:ascii="Arial" w:hAnsi="Arial" w:cs="Arial"/>
          <w:sz w:val="20"/>
          <w:szCs w:val="20"/>
        </w:rPr>
        <w:t>= overlooked</w:t>
      </w:r>
    </w:p>
    <w:p w:rsidR="007D32FE" w:rsidRDefault="007D32FE" w:rsidP="007D32FE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Current study: </w:t>
      </w:r>
      <w:r w:rsidRPr="007D32FE">
        <w:rPr>
          <w:rFonts w:ascii="Arial" w:hAnsi="Arial" w:cs="Arial"/>
          <w:sz w:val="20"/>
          <w:szCs w:val="20"/>
        </w:rPr>
        <w:t>assess the inter-rater reliability and convergent validity of the CSU-F</w:t>
      </w:r>
      <w:r>
        <w:rPr>
          <w:rFonts w:ascii="Arial" w:hAnsi="Arial" w:cs="Arial"/>
          <w:sz w:val="20"/>
          <w:szCs w:val="20"/>
        </w:rPr>
        <w:t xml:space="preserve">eline </w:t>
      </w:r>
      <w:r w:rsidRPr="007D32F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cute </w:t>
      </w:r>
      <w:r w:rsidRPr="007D32FE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ain </w:t>
      </w:r>
      <w:r w:rsidRPr="007D32FE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core</w:t>
      </w:r>
      <w:r w:rsidRPr="007D32FE">
        <w:rPr>
          <w:rFonts w:ascii="Arial" w:hAnsi="Arial" w:cs="Arial"/>
          <w:sz w:val="20"/>
          <w:szCs w:val="20"/>
        </w:rPr>
        <w:t xml:space="preserve"> in a clinical/teaching setting</w:t>
      </w:r>
    </w:p>
    <w:p w:rsidR="00110E72" w:rsidRDefault="00110E72" w:rsidP="007D32FE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RESULTS:</w:t>
      </w:r>
    </w:p>
    <w:p w:rsidR="00110E72" w:rsidRDefault="00110E72" w:rsidP="00110E72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0E72">
        <w:rPr>
          <w:rFonts w:ascii="Arial" w:hAnsi="Arial" w:cs="Arial"/>
          <w:sz w:val="20"/>
          <w:szCs w:val="20"/>
        </w:rPr>
        <w:t>CSU-</w:t>
      </w:r>
      <w:r>
        <w:rPr>
          <w:rFonts w:ascii="Arial" w:hAnsi="Arial" w:cs="Arial"/>
          <w:sz w:val="20"/>
          <w:szCs w:val="20"/>
        </w:rPr>
        <w:t xml:space="preserve">FAPS was simple to </w:t>
      </w:r>
      <w:proofErr w:type="spellStart"/>
      <w:r>
        <w:rPr>
          <w:rFonts w:ascii="Arial" w:hAnsi="Arial" w:cs="Arial"/>
          <w:sz w:val="20"/>
          <w:szCs w:val="20"/>
        </w:rPr>
        <w:t>use</w:t>
      </w:r>
    </w:p>
    <w:p w:rsidR="00110E72" w:rsidRDefault="00110E72" w:rsidP="00110E72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proofErr w:type="spellEnd"/>
      <w:r>
        <w:rPr>
          <w:rFonts w:ascii="Arial" w:hAnsi="Arial" w:cs="Arial"/>
          <w:sz w:val="20"/>
          <w:szCs w:val="20"/>
        </w:rPr>
        <w:t xml:space="preserve">Moderate </w:t>
      </w:r>
      <w:r w:rsidRPr="00110E72"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sz w:val="20"/>
          <w:szCs w:val="20"/>
        </w:rPr>
        <w:t xml:space="preserve"> </w:t>
      </w:r>
      <w:r w:rsidRPr="00110E72">
        <w:rPr>
          <w:rFonts w:ascii="Arial" w:hAnsi="Arial" w:cs="Arial"/>
          <w:sz w:val="20"/>
          <w:szCs w:val="20"/>
        </w:rPr>
        <w:t>good inter-rater reliability when used by veterinarians with advanced training in an</w:t>
      </w:r>
      <w:r>
        <w:rPr>
          <w:rFonts w:ascii="Arial" w:hAnsi="Arial" w:cs="Arial"/>
          <w:sz w:val="20"/>
          <w:szCs w:val="20"/>
        </w:rPr>
        <w:t>esthesia (residents and anesthesiologists)</w:t>
      </w:r>
    </w:p>
    <w:p w:rsidR="00110E72" w:rsidRDefault="00110E72" w:rsidP="00110E72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convergent validity</w:t>
      </w:r>
      <w:r w:rsidRPr="00110E72">
        <w:rPr>
          <w:rFonts w:ascii="Arial" w:hAnsi="Arial" w:cs="Arial"/>
          <w:sz w:val="20"/>
          <w:szCs w:val="20"/>
        </w:rPr>
        <w:t xml:space="preserve"> of the scale fell short of current guideline</w:t>
      </w:r>
      <w:r>
        <w:rPr>
          <w:rFonts w:ascii="Arial" w:hAnsi="Arial" w:cs="Arial"/>
          <w:sz w:val="20"/>
          <w:szCs w:val="20"/>
        </w:rPr>
        <w:t>s for correlation coefficient (</w:t>
      </w:r>
      <w:proofErr w:type="spellStart"/>
      <w:r>
        <w:rPr>
          <w:rFonts w:ascii="Arial" w:hAnsi="Arial" w:cs="Arial"/>
          <w:sz w:val="20"/>
          <w:szCs w:val="20"/>
        </w:rPr>
        <w:t>Glascow</w:t>
      </w:r>
      <w:proofErr w:type="spellEnd"/>
      <w:r>
        <w:rPr>
          <w:rFonts w:ascii="Arial" w:hAnsi="Arial" w:cs="Arial"/>
          <w:sz w:val="20"/>
          <w:szCs w:val="20"/>
        </w:rPr>
        <w:t xml:space="preserve"> Composite Measure Pain Score – Feline was criterion)</w:t>
      </w:r>
    </w:p>
    <w:p w:rsidR="00110E72" w:rsidRDefault="00110E72" w:rsidP="00110E72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110E72">
        <w:rPr>
          <w:rFonts w:ascii="Arial" w:hAnsi="Arial" w:cs="Arial"/>
          <w:sz w:val="20"/>
          <w:szCs w:val="20"/>
        </w:rPr>
        <w:t>efinement of the scale could be beneficial to increase consistency of results</w:t>
      </w:r>
    </w:p>
    <w:p w:rsidR="00110E72" w:rsidRDefault="00110E72" w:rsidP="00110E7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Relatively reliable but not valid measure </w:t>
      </w:r>
    </w:p>
    <w:p w:rsidR="00110E72" w:rsidRDefault="00110E72" w:rsidP="00110E72">
      <w:pPr>
        <w:rPr>
          <w:rFonts w:ascii="Arial" w:hAnsi="Arial" w:cs="Arial"/>
          <w:sz w:val="20"/>
          <w:szCs w:val="20"/>
        </w:rPr>
      </w:pPr>
    </w:p>
    <w:p w:rsidR="00110E72" w:rsidRDefault="00110E72" w:rsidP="00110E72">
      <w:pPr>
        <w:rPr>
          <w:rFonts w:ascii="Arial" w:hAnsi="Arial" w:cs="Arial"/>
          <w:sz w:val="20"/>
          <w:szCs w:val="20"/>
        </w:rPr>
      </w:pPr>
    </w:p>
    <w:p w:rsidR="00110E72" w:rsidRDefault="00110E72" w:rsidP="00110E72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1D6E293" wp14:editId="62CC47ED">
            <wp:extent cx="5423026" cy="4540046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0026" cy="4545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E72" w:rsidRDefault="00110E72" w:rsidP="00110E7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Prognosis for FATE is poor - </w:t>
      </w:r>
      <w:r w:rsidRPr="00110E72">
        <w:rPr>
          <w:rFonts w:ascii="Arial" w:hAnsi="Arial" w:cs="Arial"/>
          <w:sz w:val="20"/>
          <w:szCs w:val="20"/>
        </w:rPr>
        <w:t xml:space="preserve">euthanasia as </w:t>
      </w:r>
      <w:r>
        <w:rPr>
          <w:rFonts w:ascii="Arial" w:hAnsi="Arial" w:cs="Arial"/>
          <w:sz w:val="20"/>
          <w:szCs w:val="20"/>
        </w:rPr>
        <w:t>high as 90% in some reports</w:t>
      </w:r>
    </w:p>
    <w:p w:rsidR="00110E72" w:rsidRDefault="00110E72" w:rsidP="00110E7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110E72">
        <w:rPr>
          <w:rFonts w:ascii="Arial" w:hAnsi="Arial" w:cs="Arial"/>
          <w:sz w:val="20"/>
          <w:szCs w:val="20"/>
        </w:rPr>
        <w:t>urrent sta</w:t>
      </w:r>
      <w:r>
        <w:rPr>
          <w:rFonts w:ascii="Arial" w:hAnsi="Arial" w:cs="Arial"/>
          <w:sz w:val="20"/>
          <w:szCs w:val="20"/>
        </w:rPr>
        <w:t xml:space="preserve">ndard treatments = </w:t>
      </w:r>
      <w:r w:rsidRPr="00110E72">
        <w:rPr>
          <w:rFonts w:ascii="Arial" w:hAnsi="Arial" w:cs="Arial"/>
          <w:sz w:val="20"/>
          <w:szCs w:val="20"/>
        </w:rPr>
        <w:t>an</w:t>
      </w:r>
      <w:r>
        <w:rPr>
          <w:rFonts w:ascii="Arial" w:hAnsi="Arial" w:cs="Arial"/>
          <w:sz w:val="20"/>
          <w:szCs w:val="20"/>
        </w:rPr>
        <w:t xml:space="preserve">algesia and </w:t>
      </w:r>
      <w:proofErr w:type="spellStart"/>
      <w:r>
        <w:rPr>
          <w:rFonts w:ascii="Arial" w:hAnsi="Arial" w:cs="Arial"/>
          <w:sz w:val="20"/>
          <w:szCs w:val="20"/>
        </w:rPr>
        <w:t>thromboprophylaxis</w:t>
      </w:r>
      <w:proofErr w:type="spellEnd"/>
      <w:r>
        <w:rPr>
          <w:rFonts w:ascii="Arial" w:hAnsi="Arial" w:cs="Arial"/>
          <w:sz w:val="20"/>
          <w:szCs w:val="20"/>
        </w:rPr>
        <w:t xml:space="preserve"> -</w:t>
      </w:r>
      <w:r w:rsidRPr="00110E72">
        <w:rPr>
          <w:rFonts w:ascii="Arial" w:hAnsi="Arial" w:cs="Arial"/>
          <w:sz w:val="20"/>
          <w:szCs w:val="20"/>
        </w:rPr>
        <w:t xml:space="preserve"> the prognosis is still</w:t>
      </w:r>
      <w:r>
        <w:rPr>
          <w:rFonts w:ascii="Arial" w:hAnsi="Arial" w:cs="Arial"/>
          <w:sz w:val="20"/>
          <w:szCs w:val="20"/>
        </w:rPr>
        <w:t xml:space="preserve"> guarded (survival with treatment 27–45%)</w:t>
      </w:r>
    </w:p>
    <w:p w:rsidR="00110E72" w:rsidRDefault="00110E72" w:rsidP="00110E7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Humans, mortality and functional outcome improved if </w:t>
      </w:r>
      <w:proofErr w:type="spellStart"/>
      <w:r>
        <w:rPr>
          <w:rFonts w:ascii="Arial" w:hAnsi="Arial" w:cs="Arial"/>
          <w:sz w:val="20"/>
          <w:szCs w:val="20"/>
        </w:rPr>
        <w:t>tPA</w:t>
      </w:r>
      <w:proofErr w:type="spellEnd"/>
      <w:r>
        <w:rPr>
          <w:rFonts w:ascii="Arial" w:hAnsi="Arial" w:cs="Arial"/>
          <w:sz w:val="20"/>
          <w:szCs w:val="20"/>
        </w:rPr>
        <w:t xml:space="preserve"> given within 6 hours of acute ischemic event</w:t>
      </w:r>
    </w:p>
    <w:p w:rsidR="00110E72" w:rsidRDefault="00110E72" w:rsidP="00110E7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Veterinary medicine - thrombolysis in FATE has been considered unrewarding (lack of efficacy, </w:t>
      </w:r>
      <w:r w:rsidRPr="00110E72">
        <w:rPr>
          <w:rFonts w:ascii="Arial" w:hAnsi="Arial" w:cs="Arial"/>
          <w:sz w:val="20"/>
          <w:szCs w:val="20"/>
        </w:rPr>
        <w:t>risks of reperfusion injury (RI) with hyperkalemi</w:t>
      </w:r>
      <w:r>
        <w:rPr>
          <w:rFonts w:ascii="Arial" w:hAnsi="Arial" w:cs="Arial"/>
          <w:sz w:val="20"/>
          <w:szCs w:val="20"/>
        </w:rPr>
        <w:t>a)</w:t>
      </w:r>
    </w:p>
    <w:p w:rsidR="00110E72" w:rsidRDefault="00110E72" w:rsidP="00110E7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Retrospective study: </w:t>
      </w:r>
      <w:r w:rsidRPr="00110E72">
        <w:rPr>
          <w:rFonts w:ascii="Arial" w:hAnsi="Arial" w:cs="Arial"/>
          <w:sz w:val="20"/>
          <w:szCs w:val="20"/>
        </w:rPr>
        <w:t>report clinical data and outcomes associated with the early use and short-term infusion of TPA in FATE v</w:t>
      </w:r>
      <w:r>
        <w:rPr>
          <w:rFonts w:ascii="Arial" w:hAnsi="Arial" w:cs="Arial"/>
          <w:sz w:val="20"/>
          <w:szCs w:val="20"/>
        </w:rPr>
        <w:t>s SOC without TPA (10 year period)</w:t>
      </w:r>
    </w:p>
    <w:p w:rsidR="00110E72" w:rsidRDefault="00440A77" w:rsidP="00110E7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RESULTS:</w:t>
      </w:r>
    </w:p>
    <w:p w:rsidR="00440A77" w:rsidRDefault="00440A77" w:rsidP="00440A77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TPA given within 3 hours of presentation (though significant difference in time to presentation between TPA and SOC group)</w:t>
      </w:r>
    </w:p>
    <w:p w:rsidR="00440A77" w:rsidRDefault="00440A77" w:rsidP="00440A77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440A77">
        <w:rPr>
          <w:rFonts w:ascii="Arial" w:hAnsi="Arial" w:cs="Arial"/>
          <w:sz w:val="20"/>
          <w:szCs w:val="20"/>
        </w:rPr>
        <w:t xml:space="preserve">uthanasia rate vs spontaneous death was similar in both groups (55.55% for </w:t>
      </w:r>
      <w:r>
        <w:rPr>
          <w:rFonts w:ascii="Arial" w:hAnsi="Arial" w:cs="Arial"/>
          <w:sz w:val="20"/>
          <w:szCs w:val="20"/>
        </w:rPr>
        <w:t>TPA-treated vs 66.7% in SOC)</w:t>
      </w:r>
    </w:p>
    <w:p w:rsidR="00440A77" w:rsidRDefault="00440A77" w:rsidP="00440A77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440A77">
        <w:rPr>
          <w:rFonts w:ascii="Arial" w:hAnsi="Arial" w:cs="Arial"/>
          <w:sz w:val="20"/>
          <w:szCs w:val="20"/>
        </w:rPr>
        <w:t>Short-term (48 h) survival proportion were not different between groups (56.25% in the TPA-treated</w:t>
      </w:r>
      <w:r>
        <w:rPr>
          <w:rFonts w:ascii="Arial" w:hAnsi="Arial" w:cs="Arial"/>
          <w:sz w:val="20"/>
          <w:szCs w:val="20"/>
        </w:rPr>
        <w:t xml:space="preserve"> vs 39.5% SOC)</w:t>
      </w:r>
    </w:p>
    <w:p w:rsidR="00440A77" w:rsidRDefault="00440A77" w:rsidP="00440A77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4/7 cats in TPA ground had recurrence of FATE (median time 106 days)</w:t>
      </w:r>
    </w:p>
    <w:p w:rsidR="00440A77" w:rsidRDefault="00440A77" w:rsidP="00440A77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440A77">
        <w:rPr>
          <w:rFonts w:ascii="Arial" w:hAnsi="Arial" w:cs="Arial"/>
          <w:sz w:val="20"/>
          <w:szCs w:val="20"/>
        </w:rPr>
        <w:t xml:space="preserve">SOC group </w:t>
      </w:r>
      <w:r>
        <w:rPr>
          <w:rFonts w:ascii="Arial" w:hAnsi="Arial" w:cs="Arial"/>
          <w:sz w:val="20"/>
          <w:szCs w:val="20"/>
        </w:rPr>
        <w:t xml:space="preserve">- </w:t>
      </w:r>
      <w:r w:rsidRPr="00440A77">
        <w:rPr>
          <w:rFonts w:ascii="Arial" w:hAnsi="Arial" w:cs="Arial"/>
          <w:sz w:val="20"/>
          <w:szCs w:val="20"/>
        </w:rPr>
        <w:t xml:space="preserve">25% and 50% developed </w:t>
      </w:r>
      <w:r>
        <w:rPr>
          <w:rFonts w:ascii="Arial" w:hAnsi="Arial" w:cs="Arial"/>
          <w:sz w:val="20"/>
          <w:szCs w:val="20"/>
        </w:rPr>
        <w:t xml:space="preserve">AKI and RI - </w:t>
      </w:r>
      <w:r w:rsidRPr="00440A77">
        <w:rPr>
          <w:rFonts w:ascii="Arial" w:hAnsi="Arial" w:cs="Arial"/>
          <w:sz w:val="20"/>
          <w:szCs w:val="20"/>
        </w:rPr>
        <w:t xml:space="preserve"> not statistically different to the TPA-treated grou</w:t>
      </w:r>
      <w:r>
        <w:rPr>
          <w:rFonts w:ascii="Arial" w:hAnsi="Arial" w:cs="Arial"/>
          <w:sz w:val="20"/>
          <w:szCs w:val="20"/>
        </w:rPr>
        <w:t>p</w:t>
      </w:r>
    </w:p>
    <w:p w:rsidR="00440A77" w:rsidRDefault="00440A77" w:rsidP="00440A77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TPA group – 7/16 had motor function improvement w/in 12 hours of treatment (none in SOC group did</w:t>
      </w:r>
      <w:r w:rsidR="003539FB">
        <w:rPr>
          <w:rFonts w:ascii="Arial" w:hAnsi="Arial" w:cs="Arial"/>
          <w:sz w:val="20"/>
          <w:szCs w:val="20"/>
        </w:rPr>
        <w:t xml:space="preserve"> not (no significance noted)</w:t>
      </w:r>
    </w:p>
    <w:p w:rsidR="003539FB" w:rsidRDefault="003539FB" w:rsidP="00440A77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underpowered – differences may not have been detected</w:t>
      </w:r>
    </w:p>
    <w:p w:rsidR="003539FB" w:rsidRDefault="00F12705" w:rsidP="00F127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D0DAC52" wp14:editId="540D54A8">
            <wp:extent cx="5060887" cy="402546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8106" cy="403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705" w:rsidRDefault="00F12705" w:rsidP="00F12705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proofErr w:type="spellStart"/>
      <w:r w:rsidRPr="00F12705">
        <w:rPr>
          <w:rFonts w:ascii="Arial" w:hAnsi="Arial" w:cs="Arial"/>
          <w:sz w:val="20"/>
          <w:szCs w:val="20"/>
        </w:rPr>
        <w:t>Hypersomatotropism</w:t>
      </w:r>
      <w:proofErr w:type="spellEnd"/>
      <w:r w:rsidRPr="00F127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</w:t>
      </w:r>
      <w:r w:rsidRPr="00F12705">
        <w:rPr>
          <w:rFonts w:ascii="Arial" w:hAnsi="Arial" w:cs="Arial"/>
          <w:sz w:val="20"/>
          <w:szCs w:val="20"/>
        </w:rPr>
        <w:t>growth hormone-sec</w:t>
      </w:r>
      <w:r>
        <w:rPr>
          <w:rFonts w:ascii="Arial" w:hAnsi="Arial" w:cs="Arial"/>
          <w:sz w:val="20"/>
          <w:szCs w:val="20"/>
        </w:rPr>
        <w:t>reting pituitary gland adenoma</w:t>
      </w:r>
    </w:p>
    <w:p w:rsidR="00F12705" w:rsidRDefault="00F12705" w:rsidP="00F12705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Though typically s</w:t>
      </w:r>
      <w:r w:rsidRPr="00F12705">
        <w:rPr>
          <w:rFonts w:ascii="Arial" w:hAnsi="Arial" w:cs="Arial"/>
          <w:sz w:val="20"/>
          <w:szCs w:val="20"/>
        </w:rPr>
        <w:t>low-growing</w:t>
      </w:r>
      <w:r>
        <w:rPr>
          <w:rFonts w:ascii="Arial" w:hAnsi="Arial" w:cs="Arial"/>
          <w:sz w:val="20"/>
          <w:szCs w:val="20"/>
        </w:rPr>
        <w:t>,</w:t>
      </w:r>
      <w:r w:rsidRPr="00F12705">
        <w:rPr>
          <w:rFonts w:ascii="Arial" w:hAnsi="Arial" w:cs="Arial"/>
          <w:sz w:val="20"/>
          <w:szCs w:val="20"/>
        </w:rPr>
        <w:t xml:space="preserve"> n</w:t>
      </w:r>
      <w:r>
        <w:rPr>
          <w:rFonts w:ascii="Arial" w:hAnsi="Arial" w:cs="Arial"/>
          <w:sz w:val="20"/>
          <w:szCs w:val="20"/>
        </w:rPr>
        <w:t>eurological disease is possible</w:t>
      </w:r>
    </w:p>
    <w:p w:rsidR="00F12705" w:rsidRDefault="00F12705" w:rsidP="00F12705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Traditionally treated with radiation though more surgeons are performing </w:t>
      </w:r>
      <w:proofErr w:type="spellStart"/>
      <w:r>
        <w:rPr>
          <w:rFonts w:ascii="Arial" w:hAnsi="Arial" w:cs="Arial"/>
          <w:sz w:val="20"/>
          <w:szCs w:val="20"/>
        </w:rPr>
        <w:t>hypophysectomies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F12705" w:rsidRDefault="00F12705" w:rsidP="00F12705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Retrospective study:</w:t>
      </w:r>
      <w:r w:rsidRPr="00F12705">
        <w:rPr>
          <w:rFonts w:ascii="Arial" w:hAnsi="Arial" w:cs="Arial"/>
          <w:sz w:val="20"/>
          <w:szCs w:val="20"/>
        </w:rPr>
        <w:t xml:space="preserve"> describe the anesthetic management and complications encountered during </w:t>
      </w:r>
      <w:proofErr w:type="spellStart"/>
      <w:r w:rsidRPr="00F12705">
        <w:rPr>
          <w:rFonts w:ascii="Arial" w:hAnsi="Arial" w:cs="Arial"/>
          <w:sz w:val="20"/>
          <w:szCs w:val="20"/>
        </w:rPr>
        <w:t>hypophysectomy</w:t>
      </w:r>
      <w:proofErr w:type="spellEnd"/>
      <w:r w:rsidRPr="00F12705">
        <w:rPr>
          <w:rFonts w:ascii="Arial" w:hAnsi="Arial" w:cs="Arial"/>
          <w:sz w:val="20"/>
          <w:szCs w:val="20"/>
        </w:rPr>
        <w:t xml:space="preserve"> surgeries</w:t>
      </w:r>
      <w:r>
        <w:rPr>
          <w:rFonts w:ascii="Arial" w:hAnsi="Arial" w:cs="Arial"/>
          <w:sz w:val="20"/>
          <w:szCs w:val="20"/>
        </w:rPr>
        <w:t>, assess the relationship between</w:t>
      </w:r>
      <w:r w:rsidRPr="00F12705">
        <w:rPr>
          <w:rFonts w:ascii="Arial" w:hAnsi="Arial" w:cs="Arial"/>
          <w:sz w:val="20"/>
          <w:szCs w:val="20"/>
        </w:rPr>
        <w:t xml:space="preserve"> complications and the anesthesia protocol </w:t>
      </w:r>
      <w:r>
        <w:rPr>
          <w:rFonts w:ascii="Arial" w:hAnsi="Arial" w:cs="Arial"/>
          <w:sz w:val="20"/>
          <w:szCs w:val="20"/>
        </w:rPr>
        <w:t xml:space="preserve">used, and the impact </w:t>
      </w:r>
      <w:r w:rsidRPr="00F12705">
        <w:rPr>
          <w:rFonts w:ascii="Arial" w:hAnsi="Arial" w:cs="Arial"/>
          <w:sz w:val="20"/>
          <w:szCs w:val="20"/>
        </w:rPr>
        <w:t>and presence of complicatio</w:t>
      </w:r>
      <w:r>
        <w:rPr>
          <w:rFonts w:ascii="Arial" w:hAnsi="Arial" w:cs="Arial"/>
          <w:sz w:val="20"/>
          <w:szCs w:val="20"/>
        </w:rPr>
        <w:t>ns on the perioperative outcome</w:t>
      </w:r>
    </w:p>
    <w:p w:rsidR="00F12705" w:rsidRDefault="00F12705" w:rsidP="00F12705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RESULTS:</w:t>
      </w:r>
    </w:p>
    <w:p w:rsidR="00F12705" w:rsidRPr="00F12705" w:rsidRDefault="00F12705" w:rsidP="00F12705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Ax management consisted of methadone +/- midazolam, alpha 2 agonist, </w:t>
      </w:r>
      <w:proofErr w:type="spellStart"/>
      <w:r>
        <w:rPr>
          <w:rFonts w:ascii="Arial" w:hAnsi="Arial" w:cs="Arial"/>
          <w:sz w:val="20"/>
          <w:szCs w:val="20"/>
        </w:rPr>
        <w:t>alfaxalone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acepromazine</w:t>
      </w:r>
      <w:proofErr w:type="spellEnd"/>
      <w:r>
        <w:rPr>
          <w:rFonts w:ascii="Arial" w:hAnsi="Arial" w:cs="Arial"/>
          <w:sz w:val="20"/>
          <w:szCs w:val="20"/>
        </w:rPr>
        <w:t xml:space="preserve"> as premed; </w:t>
      </w:r>
      <w:proofErr w:type="spellStart"/>
      <w:r>
        <w:rPr>
          <w:rFonts w:ascii="Arial" w:hAnsi="Arial" w:cs="Arial"/>
          <w:sz w:val="20"/>
          <w:szCs w:val="20"/>
        </w:rPr>
        <w:t>propofol</w:t>
      </w:r>
      <w:proofErr w:type="spellEnd"/>
      <w:r>
        <w:rPr>
          <w:rFonts w:ascii="Arial" w:hAnsi="Arial" w:cs="Arial"/>
          <w:sz w:val="20"/>
          <w:szCs w:val="20"/>
        </w:rPr>
        <w:t xml:space="preserve"> or </w:t>
      </w:r>
      <w:proofErr w:type="spellStart"/>
      <w:r>
        <w:rPr>
          <w:rFonts w:ascii="Arial" w:hAnsi="Arial" w:cs="Arial"/>
          <w:sz w:val="20"/>
          <w:szCs w:val="20"/>
        </w:rPr>
        <w:t>alfaxalone</w:t>
      </w:r>
      <w:proofErr w:type="spellEnd"/>
      <w:r>
        <w:rPr>
          <w:rFonts w:ascii="Arial" w:hAnsi="Arial" w:cs="Arial"/>
          <w:sz w:val="20"/>
          <w:szCs w:val="20"/>
        </w:rPr>
        <w:t xml:space="preserve"> +/- </w:t>
      </w:r>
      <w:proofErr w:type="spellStart"/>
      <w:r>
        <w:rPr>
          <w:rFonts w:ascii="Arial" w:hAnsi="Arial" w:cs="Arial"/>
          <w:sz w:val="20"/>
          <w:szCs w:val="20"/>
        </w:rPr>
        <w:t>midaz</w:t>
      </w:r>
      <w:proofErr w:type="spellEnd"/>
      <w:r>
        <w:rPr>
          <w:rFonts w:ascii="Arial" w:hAnsi="Arial" w:cs="Arial"/>
          <w:sz w:val="20"/>
          <w:szCs w:val="20"/>
        </w:rPr>
        <w:t xml:space="preserve"> to induce; </w:t>
      </w:r>
      <w:proofErr w:type="spellStart"/>
      <w:r>
        <w:rPr>
          <w:rFonts w:ascii="Arial" w:hAnsi="Arial" w:cs="Arial"/>
          <w:sz w:val="20"/>
          <w:szCs w:val="20"/>
        </w:rPr>
        <w:t>sevo</w:t>
      </w:r>
      <w:proofErr w:type="spellEnd"/>
      <w:r>
        <w:rPr>
          <w:rFonts w:ascii="Arial" w:hAnsi="Arial" w:cs="Arial"/>
          <w:sz w:val="20"/>
          <w:szCs w:val="20"/>
        </w:rPr>
        <w:t xml:space="preserve"> or </w:t>
      </w:r>
      <w:proofErr w:type="spellStart"/>
      <w:r>
        <w:rPr>
          <w:rFonts w:ascii="Arial" w:hAnsi="Arial" w:cs="Arial"/>
          <w:sz w:val="20"/>
          <w:szCs w:val="20"/>
        </w:rPr>
        <w:t>iso</w:t>
      </w:r>
      <w:proofErr w:type="spellEnd"/>
      <w:r>
        <w:rPr>
          <w:rFonts w:ascii="Arial" w:hAnsi="Arial" w:cs="Arial"/>
          <w:sz w:val="20"/>
          <w:szCs w:val="20"/>
        </w:rPr>
        <w:t xml:space="preserve"> for maintenance with fentanyl or remifentanil; insulin CRI; hydrocortisone CRI; desmopressin conjunctival; buprenorphine post op</w:t>
      </w:r>
    </w:p>
    <w:p w:rsidR="00F12705" w:rsidRDefault="00F12705" w:rsidP="00F12705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F12705">
        <w:rPr>
          <w:rFonts w:ascii="Arial" w:hAnsi="Arial" w:cs="Arial"/>
          <w:sz w:val="20"/>
          <w:szCs w:val="20"/>
        </w:rPr>
        <w:t>ats that did not receive an α2 agonist were more likely to suffer hypotension</w:t>
      </w:r>
      <w:r>
        <w:rPr>
          <w:rFonts w:ascii="Arial" w:hAnsi="Arial" w:cs="Arial"/>
          <w:sz w:val="20"/>
          <w:szCs w:val="20"/>
        </w:rPr>
        <w:t xml:space="preserve"> during the anesthetic period</w:t>
      </w:r>
    </w:p>
    <w:p w:rsidR="00F12705" w:rsidRPr="00F12705" w:rsidRDefault="00F12705" w:rsidP="00F12705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F12705">
        <w:rPr>
          <w:rFonts w:ascii="Arial" w:hAnsi="Arial" w:cs="Arial"/>
          <w:sz w:val="20"/>
          <w:szCs w:val="20"/>
        </w:rPr>
        <w:t>ats that r</w:t>
      </w:r>
      <w:r>
        <w:rPr>
          <w:rFonts w:ascii="Arial" w:hAnsi="Arial" w:cs="Arial"/>
          <w:sz w:val="20"/>
          <w:szCs w:val="20"/>
        </w:rPr>
        <w:t>eceived a CRI</w:t>
      </w:r>
      <w:r w:rsidRPr="00F12705">
        <w:rPr>
          <w:rFonts w:ascii="Arial" w:hAnsi="Arial" w:cs="Arial"/>
          <w:sz w:val="20"/>
          <w:szCs w:val="20"/>
        </w:rPr>
        <w:t xml:space="preserve"> of remifentanil were less likely to suffer airway complications than cats </w:t>
      </w:r>
      <w:r>
        <w:rPr>
          <w:rFonts w:ascii="Arial" w:hAnsi="Arial" w:cs="Arial"/>
          <w:sz w:val="20"/>
          <w:szCs w:val="20"/>
        </w:rPr>
        <w:t>that received fentanyl infusion</w:t>
      </w:r>
    </w:p>
    <w:p w:rsidR="00F12705" w:rsidRDefault="00F12705" w:rsidP="00F12705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Interestingly</w:t>
      </w:r>
      <w:r w:rsidRPr="00F12705">
        <w:rPr>
          <w:rFonts w:ascii="Arial" w:hAnsi="Arial" w:cs="Arial"/>
          <w:sz w:val="20"/>
          <w:szCs w:val="20"/>
        </w:rPr>
        <w:t xml:space="preserve"> cats with recovery described as ‘abnormal’ were discharged quicker from the ICU compared with cats with a recovery quality descri</w:t>
      </w:r>
      <w:r>
        <w:rPr>
          <w:rFonts w:ascii="Arial" w:hAnsi="Arial" w:cs="Arial"/>
          <w:sz w:val="20"/>
          <w:szCs w:val="20"/>
        </w:rPr>
        <w:t>bed as ‘unremarkable’</w:t>
      </w:r>
    </w:p>
    <w:p w:rsidR="00F12705" w:rsidRDefault="00F12705" w:rsidP="00F12705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Intraoperative complications: </w:t>
      </w:r>
      <w:r w:rsidRPr="00F12705">
        <w:rPr>
          <w:rFonts w:ascii="Arial" w:hAnsi="Arial" w:cs="Arial"/>
          <w:sz w:val="20"/>
          <w:szCs w:val="20"/>
        </w:rPr>
        <w:t>hypothermia, bradycardia, hyp</w:t>
      </w:r>
      <w:r>
        <w:rPr>
          <w:rFonts w:ascii="Arial" w:hAnsi="Arial" w:cs="Arial"/>
          <w:sz w:val="20"/>
          <w:szCs w:val="20"/>
        </w:rPr>
        <w:t>otension and airway obstruction</w:t>
      </w:r>
    </w:p>
    <w:p w:rsidR="00F12705" w:rsidRDefault="00F12705" w:rsidP="00F12705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3/38 (8%) died within 24 hours of anesthetic recovery</w:t>
      </w:r>
    </w:p>
    <w:p w:rsidR="00F12705" w:rsidRDefault="00F12705" w:rsidP="00F12705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Median time in ICU post-op was 6.8 days +/- 3.8</w:t>
      </w:r>
    </w:p>
    <w:p w:rsidR="00F12705" w:rsidRDefault="00F12705" w:rsidP="00F12705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Mortality rate lower than previous studies</w:t>
      </w:r>
    </w:p>
    <w:p w:rsidR="00F12705" w:rsidRDefault="00F12705" w:rsidP="00F12705">
      <w:pPr>
        <w:rPr>
          <w:rFonts w:ascii="Arial" w:hAnsi="Arial" w:cs="Arial"/>
          <w:sz w:val="20"/>
          <w:szCs w:val="20"/>
        </w:rPr>
      </w:pPr>
    </w:p>
    <w:p w:rsidR="007D32FE" w:rsidRPr="007D32FE" w:rsidRDefault="007D32FE" w:rsidP="007D32FE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7D32FE" w:rsidRPr="007D3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92A03"/>
    <w:multiLevelType w:val="hybridMultilevel"/>
    <w:tmpl w:val="BFCC9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61647"/>
    <w:multiLevelType w:val="hybridMultilevel"/>
    <w:tmpl w:val="93744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52165"/>
    <w:multiLevelType w:val="hybridMultilevel"/>
    <w:tmpl w:val="9A924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F3DC3"/>
    <w:multiLevelType w:val="hybridMultilevel"/>
    <w:tmpl w:val="681A3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9A7"/>
    <w:rsid w:val="000C1A86"/>
    <w:rsid w:val="00110E72"/>
    <w:rsid w:val="003539FB"/>
    <w:rsid w:val="00440A77"/>
    <w:rsid w:val="00517D96"/>
    <w:rsid w:val="005849A7"/>
    <w:rsid w:val="007D32FE"/>
    <w:rsid w:val="00AA3890"/>
    <w:rsid w:val="00F1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9CE19F-9088-4266-84DA-6BEAFC86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1</cp:revision>
  <dcterms:created xsi:type="dcterms:W3CDTF">2019-04-01T17:49:00Z</dcterms:created>
  <dcterms:modified xsi:type="dcterms:W3CDTF">2019-04-02T00:09:00Z</dcterms:modified>
</cp:coreProperties>
</file>