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ACC82" w14:textId="77777777" w:rsidR="00F70086" w:rsidRDefault="00F70086">
      <w:pPr>
        <w:rPr>
          <w:noProof/>
        </w:rPr>
      </w:pPr>
      <w:r>
        <w:rPr>
          <w:noProof/>
        </w:rPr>
        <w:t>JOURNAL FELINE SURG &amp; MED</w:t>
      </w:r>
    </w:p>
    <w:p w14:paraId="0C84501A" w14:textId="77777777" w:rsidR="00BE4344" w:rsidRDefault="00910865">
      <w:r>
        <w:rPr>
          <w:noProof/>
        </w:rPr>
        <w:drawing>
          <wp:inline distT="0" distB="0" distL="0" distR="0" wp14:anchorId="2C7D6925" wp14:editId="623781E3">
            <wp:extent cx="5943600" cy="5433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A3C0" w14:textId="77777777" w:rsidR="00910865" w:rsidRPr="00482FE5" w:rsidRDefault="004E61D3" w:rsidP="004E61D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Replicated findings in two other studies – site of BP measurement (radial vs coccygeal a.) impacted the SBP results using Doppler </w:t>
      </w:r>
      <w:proofErr w:type="spellStart"/>
      <w:r w:rsidRPr="00482FE5">
        <w:rPr>
          <w:sz w:val="20"/>
          <w:szCs w:val="20"/>
        </w:rPr>
        <w:t>syphgmomamanometry</w:t>
      </w:r>
      <w:proofErr w:type="spellEnd"/>
      <w:r w:rsidRPr="00482FE5">
        <w:rPr>
          <w:sz w:val="20"/>
          <w:szCs w:val="20"/>
        </w:rPr>
        <w:t xml:space="preserve"> </w:t>
      </w:r>
    </w:p>
    <w:p w14:paraId="18F3E055" w14:textId="77777777" w:rsidR="004E61D3" w:rsidRDefault="004E61D3" w:rsidP="004E61D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Mean SBP measurements were only moderately correlated (r=0.519)</w:t>
      </w:r>
    </w:p>
    <w:p w14:paraId="5EF1DFB7" w14:textId="77777777" w:rsidR="004E61D3" w:rsidRDefault="004E61D3" w:rsidP="004E61D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Readings on tail were on average 18.7mmHg higher than on forelimb</w:t>
      </w:r>
    </w:p>
    <w:p w14:paraId="0B3F168C" w14:textId="3BDD9109" w:rsidR="00CC7745" w:rsidRPr="00CC7745" w:rsidRDefault="00CC7745" w:rsidP="00CC774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Discrepancies in SBP were significantly greater in cats with a BCS &gt; 4 (5 </w:t>
      </w:r>
      <w:proofErr w:type="spellStart"/>
      <w:r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scale)</w:t>
      </w:r>
      <w:bookmarkStart w:id="0" w:name="_GoBack"/>
      <w:bookmarkEnd w:id="0"/>
    </w:p>
    <w:p w14:paraId="00204A39" w14:textId="77777777" w:rsidR="00003876" w:rsidRPr="00482FE5" w:rsidRDefault="004E61D3" w:rsidP="004E61D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14/25 cats that were categorized as hypertensive based on SBP obtained from coccygeal a. were categorized as </w:t>
      </w:r>
      <w:r w:rsidR="00003876" w:rsidRPr="00482FE5">
        <w:rPr>
          <w:sz w:val="20"/>
          <w:szCs w:val="20"/>
        </w:rPr>
        <w:t xml:space="preserve">mildly hypertensive to normotensive with radial a. measurement </w:t>
      </w:r>
    </w:p>
    <w:p w14:paraId="71CC1EE8" w14:textId="77777777" w:rsidR="004E61D3" w:rsidRPr="00482FE5" w:rsidRDefault="00003876" w:rsidP="00003876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 if sole result of coccygeal measurement was used this would have impacted treatment decisions (</w:t>
      </w:r>
      <w:proofErr w:type="spellStart"/>
      <w:r w:rsidRPr="00482FE5">
        <w:rPr>
          <w:sz w:val="20"/>
          <w:szCs w:val="20"/>
        </w:rPr>
        <w:t>i.e</w:t>
      </w:r>
      <w:proofErr w:type="spellEnd"/>
      <w:r w:rsidRPr="00482FE5">
        <w:rPr>
          <w:sz w:val="20"/>
          <w:szCs w:val="20"/>
        </w:rPr>
        <w:t xml:space="preserve"> initiation of anti-hypertensive medication)</w:t>
      </w:r>
    </w:p>
    <w:p w14:paraId="3ECA9EF2" w14:textId="77777777" w:rsidR="00003876" w:rsidRPr="00482FE5" w:rsidRDefault="003A2546" w:rsidP="0000387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Differences</w:t>
      </w:r>
      <w:r w:rsidR="00003876" w:rsidRPr="00482FE5">
        <w:rPr>
          <w:sz w:val="20"/>
          <w:szCs w:val="20"/>
        </w:rPr>
        <w:t xml:space="preserve"> attributed to cuff shape / fit, difference </w:t>
      </w:r>
      <w:r w:rsidRPr="00482FE5">
        <w:rPr>
          <w:sz w:val="20"/>
          <w:szCs w:val="20"/>
        </w:rPr>
        <w:t>in</w:t>
      </w:r>
      <w:r w:rsidR="00003876" w:rsidRPr="00482FE5">
        <w:rPr>
          <w:sz w:val="20"/>
          <w:szCs w:val="20"/>
        </w:rPr>
        <w:t xml:space="preserve"> peripheral pulse pressure at diffe</w:t>
      </w:r>
      <w:r w:rsidRPr="00482FE5">
        <w:rPr>
          <w:sz w:val="20"/>
          <w:szCs w:val="20"/>
        </w:rPr>
        <w:t>re</w:t>
      </w:r>
      <w:r w:rsidR="00003876" w:rsidRPr="00482FE5">
        <w:rPr>
          <w:sz w:val="20"/>
          <w:szCs w:val="20"/>
        </w:rPr>
        <w:t xml:space="preserve">nt body sites, </w:t>
      </w:r>
      <w:r w:rsidRPr="00482FE5">
        <w:rPr>
          <w:sz w:val="20"/>
          <w:szCs w:val="20"/>
        </w:rPr>
        <w:t>BCS</w:t>
      </w:r>
    </w:p>
    <w:p w14:paraId="7E408B18" w14:textId="77777777" w:rsidR="003A2546" w:rsidRPr="00482FE5" w:rsidRDefault="003A2546" w:rsidP="0000387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Authors recommend documenting BP measurement site and interpret them with caution.</w:t>
      </w:r>
    </w:p>
    <w:p w14:paraId="0D25081D" w14:textId="77777777" w:rsidR="003A2546" w:rsidRDefault="003A2546" w:rsidP="003A2546">
      <w:pPr>
        <w:pStyle w:val="ListParagraph"/>
      </w:pPr>
      <w:r>
        <w:rPr>
          <w:noProof/>
        </w:rPr>
        <w:lastRenderedPageBreak/>
        <w:drawing>
          <wp:inline distT="0" distB="0" distL="0" distR="0" wp14:anchorId="067ECC51" wp14:editId="4970F3A7">
            <wp:extent cx="5943600" cy="5829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505B1" w14:textId="77777777" w:rsidR="003A2546" w:rsidRDefault="003A2546" w:rsidP="003A2546">
      <w:pPr>
        <w:pStyle w:val="ListParagraph"/>
      </w:pPr>
    </w:p>
    <w:p w14:paraId="1BA84A3E" w14:textId="77777777" w:rsidR="003A2546" w:rsidRPr="00482FE5" w:rsidRDefault="001E0C55" w:rsidP="001E0C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Adequate sedation achieved with</w:t>
      </w:r>
      <w:r w:rsidR="004212CD" w:rsidRPr="00482FE5">
        <w:rPr>
          <w:sz w:val="20"/>
          <w:szCs w:val="20"/>
        </w:rPr>
        <w:t xml:space="preserve"> both protocols</w:t>
      </w:r>
    </w:p>
    <w:p w14:paraId="2234F86E" w14:textId="77777777" w:rsidR="004212CD" w:rsidRPr="00482FE5" w:rsidRDefault="004212CD" w:rsidP="001E0C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Sedation time with </w:t>
      </w:r>
      <w:proofErr w:type="spellStart"/>
      <w:r w:rsidRPr="00482FE5">
        <w:rPr>
          <w:sz w:val="20"/>
          <w:szCs w:val="20"/>
        </w:rPr>
        <w:t>alfaxalone</w:t>
      </w:r>
      <w:proofErr w:type="spellEnd"/>
      <w:r w:rsidRPr="00482FE5">
        <w:rPr>
          <w:sz w:val="20"/>
          <w:szCs w:val="20"/>
        </w:rPr>
        <w:t xml:space="preserve"> was significantly shorter</w:t>
      </w:r>
    </w:p>
    <w:p w14:paraId="652B4782" w14:textId="77777777" w:rsidR="004212CD" w:rsidRPr="00482FE5" w:rsidRDefault="004212CD" w:rsidP="001E0C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No differences in the two groups were observed with respect to quality of sedation, recovery and cardiovascular effects</w:t>
      </w:r>
    </w:p>
    <w:p w14:paraId="4863453B" w14:textId="77777777" w:rsidR="004212CD" w:rsidRPr="00482FE5" w:rsidRDefault="004212CD" w:rsidP="001E0C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Hypoxemia occurred more frequently in the ketamine group was but was also observed in a few cats in the </w:t>
      </w:r>
      <w:proofErr w:type="spellStart"/>
      <w:r w:rsidRPr="00482FE5">
        <w:rPr>
          <w:sz w:val="20"/>
          <w:szCs w:val="20"/>
        </w:rPr>
        <w:t>alfaxalone</w:t>
      </w:r>
      <w:proofErr w:type="spellEnd"/>
      <w:r w:rsidRPr="00482FE5">
        <w:rPr>
          <w:sz w:val="20"/>
          <w:szCs w:val="20"/>
        </w:rPr>
        <w:t xml:space="preserve"> group</w:t>
      </w:r>
      <w:r w:rsidR="00BA3B0D" w:rsidRPr="00482FE5">
        <w:rPr>
          <w:sz w:val="20"/>
          <w:szCs w:val="20"/>
        </w:rPr>
        <w:t xml:space="preserve"> however hypoventilation was not observed</w:t>
      </w:r>
      <w:r w:rsidR="00505A89" w:rsidRPr="00482FE5">
        <w:rPr>
          <w:sz w:val="20"/>
          <w:szCs w:val="20"/>
        </w:rPr>
        <w:t xml:space="preserve"> – attributed to V/Q mismatch from atelectasis from positioning  </w:t>
      </w:r>
    </w:p>
    <w:p w14:paraId="2363BDB4" w14:textId="77777777" w:rsidR="004212CD" w:rsidRPr="00482FE5" w:rsidRDefault="00692678" w:rsidP="001E0C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All sedated cats should receive supplemental oxygen</w:t>
      </w:r>
    </w:p>
    <w:p w14:paraId="4AD6EDC5" w14:textId="77777777" w:rsidR="00BC7C50" w:rsidRPr="00482FE5" w:rsidRDefault="00BC7C50" w:rsidP="00BC7C5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>In conclusion, there is evidence that Small Jaw and Impact</w:t>
      </w:r>
    </w:p>
    <w:p w14:paraId="326C7689" w14:textId="77777777" w:rsidR="00BC7C50" w:rsidRPr="00482FE5" w:rsidRDefault="00BC7C50" w:rsidP="00BC7C5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proofErr w:type="spellStart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LigaSures</w:t>
      </w:r>
      <w:proofErr w:type="spellEnd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 xml:space="preserve"> can be reused for a limited number of cycles with-</w:t>
      </w:r>
    </w:p>
    <w:p w14:paraId="060C22B1" w14:textId="77777777" w:rsidR="00BC7C50" w:rsidRPr="00482FE5" w:rsidRDefault="00BC7C50" w:rsidP="00BC7C5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>out deterioration of the vascular seal quality, but they should</w:t>
      </w:r>
    </w:p>
    <w:p w14:paraId="1A9B8744" w14:textId="77777777" w:rsidR="00BC7C50" w:rsidRPr="00482FE5" w:rsidRDefault="00BC7C50" w:rsidP="00BC7C5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20"/>
          <w:szCs w:val="20"/>
        </w:rPr>
      </w:pPr>
      <w:r w:rsidRPr="00482FE5">
        <w:rPr>
          <w:rFonts w:ascii="ff2" w:eastAsia="Times New Roman" w:hAnsi="ff2" w:cs="Times New Roman"/>
          <w:color w:val="000000"/>
          <w:sz w:val="20"/>
          <w:szCs w:val="20"/>
        </w:rPr>
        <w:t xml:space="preserve">be immediately discarded as soon as any intraoperative </w:t>
      </w:r>
      <w:proofErr w:type="spellStart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evi</w:t>
      </w:r>
      <w:proofErr w:type="spellEnd"/>
      <w:r w:rsidRPr="00482FE5">
        <w:rPr>
          <w:rFonts w:ascii="ff2" w:eastAsia="Times New Roman" w:hAnsi="ff2" w:cs="Times New Roman"/>
          <w:color w:val="000000"/>
          <w:sz w:val="20"/>
          <w:szCs w:val="20"/>
        </w:rPr>
        <w:t>-</w:t>
      </w:r>
    </w:p>
    <w:p w14:paraId="5BA10090" w14:textId="77777777" w:rsidR="00BC7C50" w:rsidRPr="00482FE5" w:rsidRDefault="00BC7C50" w:rsidP="00BC7C5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pacing w:val="-21"/>
          <w:sz w:val="20"/>
          <w:szCs w:val="20"/>
        </w:rPr>
      </w:pPr>
      <w:proofErr w:type="spellStart"/>
      <w:r w:rsidRPr="00482FE5">
        <w:rPr>
          <w:rFonts w:ascii="ff2" w:eastAsia="Times New Roman" w:hAnsi="ff2" w:cs="Times New Roman"/>
          <w:color w:val="000000"/>
          <w:spacing w:val="-21"/>
          <w:sz w:val="20"/>
          <w:szCs w:val="20"/>
        </w:rPr>
        <w:t>dence</w:t>
      </w:r>
      <w:proofErr w:type="spellEnd"/>
      <w:r w:rsidRPr="00482FE5">
        <w:rPr>
          <w:rFonts w:ascii="ff2" w:eastAsia="Times New Roman" w:hAnsi="ff2" w:cs="Times New Roman"/>
          <w:color w:val="000000"/>
          <w:spacing w:val="-21"/>
          <w:sz w:val="20"/>
          <w:szCs w:val="20"/>
        </w:rPr>
        <w:t xml:space="preserve"> of formation of a failed vascular seal is identified.</w:t>
      </w:r>
    </w:p>
    <w:sectPr w:rsidR="00BC7C50" w:rsidRPr="00482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35436"/>
    <w:multiLevelType w:val="hybridMultilevel"/>
    <w:tmpl w:val="9EA0E670"/>
    <w:lvl w:ilvl="0" w:tplc="AD82C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86"/>
    <w:rsid w:val="00003876"/>
    <w:rsid w:val="00100184"/>
    <w:rsid w:val="001E0C55"/>
    <w:rsid w:val="003A2546"/>
    <w:rsid w:val="004212CD"/>
    <w:rsid w:val="00482FE5"/>
    <w:rsid w:val="004E61D3"/>
    <w:rsid w:val="00505A89"/>
    <w:rsid w:val="005F5082"/>
    <w:rsid w:val="0065070D"/>
    <w:rsid w:val="00692678"/>
    <w:rsid w:val="00703430"/>
    <w:rsid w:val="007A1127"/>
    <w:rsid w:val="00910865"/>
    <w:rsid w:val="0094202D"/>
    <w:rsid w:val="00A02309"/>
    <w:rsid w:val="00B9134E"/>
    <w:rsid w:val="00BA3B0D"/>
    <w:rsid w:val="00BC7C50"/>
    <w:rsid w:val="00BE4344"/>
    <w:rsid w:val="00CC7745"/>
    <w:rsid w:val="00DC4E2C"/>
    <w:rsid w:val="00EF3C35"/>
    <w:rsid w:val="00F7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7D7C"/>
  <w15:docId w15:val="{37955FB8-4A4D-44AB-8E71-68B49C6C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6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 Veterinary Specialists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</dc:creator>
  <cp:lastModifiedBy>Sarah Gradilla</cp:lastModifiedBy>
  <cp:revision>2</cp:revision>
  <dcterms:created xsi:type="dcterms:W3CDTF">2018-11-13T01:37:00Z</dcterms:created>
  <dcterms:modified xsi:type="dcterms:W3CDTF">2018-11-13T01:37:00Z</dcterms:modified>
</cp:coreProperties>
</file>