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7AB89" w14:textId="77777777" w:rsidR="0046213A" w:rsidRDefault="0046213A">
      <w:pPr>
        <w:rPr>
          <w:lang w:val="en-US"/>
        </w:rPr>
      </w:pPr>
      <w:r w:rsidRPr="0046213A">
        <w:rPr>
          <w:u w:val="single"/>
          <w:lang w:val="en-US"/>
        </w:rPr>
        <w:t>November 2018 – February 2019 Literature Review</w:t>
      </w:r>
    </w:p>
    <w:p w14:paraId="056C98BD" w14:textId="77777777" w:rsidR="0046213A" w:rsidRDefault="0046213A">
      <w:pPr>
        <w:rPr>
          <w:lang w:val="en-US"/>
        </w:rPr>
      </w:pPr>
    </w:p>
    <w:p w14:paraId="322C48B4" w14:textId="77777777" w:rsidR="0046213A" w:rsidRDefault="0046213A">
      <w:pPr>
        <w:rPr>
          <w:b/>
          <w:lang w:val="en-US"/>
        </w:rPr>
      </w:pPr>
      <w:r w:rsidRPr="0046213A">
        <w:rPr>
          <w:b/>
          <w:lang w:val="en-US"/>
        </w:rPr>
        <w:t>Veterinary radiology &amp; ultrasound</w:t>
      </w:r>
    </w:p>
    <w:p w14:paraId="67EDE426" w14:textId="77777777" w:rsidR="0046213A" w:rsidRDefault="0046213A">
      <w:pPr>
        <w:rPr>
          <w:b/>
          <w:lang w:val="en-US"/>
        </w:rPr>
      </w:pPr>
      <w:r w:rsidRPr="0046213A">
        <w:rPr>
          <w:b/>
          <w:noProof/>
          <w:lang w:val="en-US"/>
        </w:rPr>
        <w:drawing>
          <wp:inline distT="0" distB="0" distL="0" distR="0" wp14:anchorId="7E6E9211" wp14:editId="72E69434">
            <wp:extent cx="5727700" cy="53898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38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67FF0" w14:textId="77777777" w:rsidR="005C1796" w:rsidRDefault="007A3CE7" w:rsidP="007A3CE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CEUS used in human medicine to differentiate pulmonary mass via vascularization patterns</w:t>
      </w:r>
    </w:p>
    <w:p w14:paraId="0D76F6E1" w14:textId="77777777" w:rsidR="007A3CE7" w:rsidRDefault="007A3CE7" w:rsidP="000938C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Prospective observational study Oct 2014 to January 2017</w:t>
      </w:r>
      <w:r w:rsidR="00AC751B">
        <w:rPr>
          <w:lang w:val="en-US"/>
        </w:rPr>
        <w:t xml:space="preserve">; 60 animals met inclusion criteria </w:t>
      </w:r>
    </w:p>
    <w:p w14:paraId="27E9BD4D" w14:textId="77777777" w:rsidR="00183F1F" w:rsidRDefault="00895DB6" w:rsidP="007A3CE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CEUS enhancement and vascularization patterns were different in a portion of neoplasia and </w:t>
      </w:r>
      <w:proofErr w:type="spellStart"/>
      <w:r>
        <w:rPr>
          <w:lang w:val="en-US"/>
        </w:rPr>
        <w:t>nonneoplastic</w:t>
      </w:r>
      <w:proofErr w:type="spellEnd"/>
      <w:r>
        <w:rPr>
          <w:lang w:val="en-US"/>
        </w:rPr>
        <w:t xml:space="preserve"> pulmonary and mediastinal masses</w:t>
      </w:r>
    </w:p>
    <w:p w14:paraId="4D100937" w14:textId="77777777" w:rsidR="00895DB6" w:rsidRPr="007A3CE7" w:rsidRDefault="008551D0" w:rsidP="00895DB6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Malignant pulmonary lesions had bronchial arterial vascularization (Sn 63%, </w:t>
      </w:r>
      <w:proofErr w:type="spellStart"/>
      <w:r>
        <w:rPr>
          <w:lang w:val="en-US"/>
        </w:rPr>
        <w:t>Sp</w:t>
      </w:r>
      <w:proofErr w:type="spellEnd"/>
      <w:r>
        <w:rPr>
          <w:lang w:val="en-US"/>
        </w:rPr>
        <w:t xml:space="preserve"> 78%), whereas benign lesions were supplied by pulmonary arteries </w:t>
      </w:r>
    </w:p>
    <w:p w14:paraId="7B3E5F70" w14:textId="2EAAC0F2" w:rsidR="0046213A" w:rsidRDefault="0046213A">
      <w:pPr>
        <w:rPr>
          <w:lang w:val="en-US"/>
        </w:rPr>
      </w:pPr>
    </w:p>
    <w:p w14:paraId="67B8E325" w14:textId="3AEEFD79" w:rsidR="00B5153F" w:rsidRDefault="00B5153F">
      <w:pPr>
        <w:rPr>
          <w:lang w:val="en-US"/>
        </w:rPr>
      </w:pPr>
    </w:p>
    <w:p w14:paraId="7D7EEE89" w14:textId="0991E6F9" w:rsidR="00B5153F" w:rsidRDefault="00B5153F">
      <w:pPr>
        <w:rPr>
          <w:lang w:val="en-US"/>
        </w:rPr>
      </w:pPr>
    </w:p>
    <w:p w14:paraId="3D5692D5" w14:textId="3D4BCDF2" w:rsidR="00B5153F" w:rsidRDefault="00B5153F">
      <w:pPr>
        <w:rPr>
          <w:lang w:val="en-US"/>
        </w:rPr>
      </w:pPr>
    </w:p>
    <w:p w14:paraId="20288B37" w14:textId="4E718FB3" w:rsidR="00B5153F" w:rsidRDefault="00B5153F">
      <w:pPr>
        <w:rPr>
          <w:lang w:val="en-US"/>
        </w:rPr>
      </w:pPr>
    </w:p>
    <w:p w14:paraId="75A2B43E" w14:textId="7DE9B624" w:rsidR="00B5153F" w:rsidRDefault="00B5153F">
      <w:pPr>
        <w:rPr>
          <w:lang w:val="en-US"/>
        </w:rPr>
      </w:pPr>
    </w:p>
    <w:p w14:paraId="09FD7A98" w14:textId="77777777" w:rsidR="00B5153F" w:rsidRDefault="00B5153F">
      <w:pPr>
        <w:rPr>
          <w:lang w:val="en-US"/>
        </w:rPr>
      </w:pPr>
    </w:p>
    <w:p w14:paraId="22E05170" w14:textId="77777777" w:rsidR="0046213A" w:rsidRDefault="0046213A">
      <w:pPr>
        <w:rPr>
          <w:lang w:val="en-US"/>
        </w:rPr>
      </w:pPr>
      <w:r>
        <w:rPr>
          <w:lang w:val="en-US"/>
        </w:rPr>
        <w:lastRenderedPageBreak/>
        <w:t>JAAHA</w:t>
      </w:r>
    </w:p>
    <w:p w14:paraId="12A0F202" w14:textId="77777777" w:rsidR="0039746C" w:rsidRDefault="0039746C">
      <w:pPr>
        <w:rPr>
          <w:lang w:val="en-US"/>
        </w:rPr>
      </w:pPr>
      <w:r w:rsidRPr="0039746C">
        <w:rPr>
          <w:noProof/>
          <w:lang w:val="en-US"/>
        </w:rPr>
        <w:drawing>
          <wp:inline distT="0" distB="0" distL="0" distR="0" wp14:anchorId="12D093BE" wp14:editId="66C09572">
            <wp:extent cx="5727700" cy="39293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0F2AB" w14:textId="77777777" w:rsidR="00EF29CF" w:rsidRDefault="00EF29CF" w:rsidP="0039746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Ideal compounds for transdermal requires low MW, lipophilic, soluble in oil and water, and high partition coefficient and melting point</w:t>
      </w:r>
    </w:p>
    <w:p w14:paraId="5F1A6FF2" w14:textId="77777777" w:rsidR="00EF29CF" w:rsidRDefault="00EF29CF" w:rsidP="00EF29CF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Phenobarbital has properties to be a good candidate for transdermal application</w:t>
      </w:r>
    </w:p>
    <w:p w14:paraId="1445915A" w14:textId="77777777" w:rsidR="0039746C" w:rsidRDefault="0039746C" w:rsidP="0039746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Subtherapeutic serum concentration achieved </w:t>
      </w:r>
      <w:r w:rsidRPr="0039746C">
        <w:rPr>
          <w:lang w:val="en-US"/>
        </w:rPr>
        <w:sym w:font="Wingdings" w:char="F0E0"/>
      </w:r>
      <w:r>
        <w:rPr>
          <w:lang w:val="en-US"/>
        </w:rPr>
        <w:t>avoid transdermal if possible</w:t>
      </w:r>
    </w:p>
    <w:p w14:paraId="4BE5D587" w14:textId="77777777" w:rsidR="000F1EC3" w:rsidRDefault="000F1EC3" w:rsidP="000F1EC3">
      <w:pPr>
        <w:rPr>
          <w:lang w:val="en-US"/>
        </w:rPr>
      </w:pPr>
    </w:p>
    <w:p w14:paraId="4B3D7FD9" w14:textId="77777777" w:rsidR="000F1EC3" w:rsidRDefault="000F1EC3" w:rsidP="000F1EC3">
      <w:pPr>
        <w:rPr>
          <w:lang w:val="en-US"/>
        </w:rPr>
      </w:pPr>
      <w:r w:rsidRPr="000F1EC3">
        <w:rPr>
          <w:noProof/>
          <w:lang w:val="en-US"/>
        </w:rPr>
        <w:lastRenderedPageBreak/>
        <w:drawing>
          <wp:inline distT="0" distB="0" distL="0" distR="0" wp14:anchorId="053223D0" wp14:editId="6F949D87">
            <wp:extent cx="5727700" cy="42691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6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E7F94" w14:textId="77777777" w:rsidR="000F1EC3" w:rsidRDefault="00E1525F" w:rsidP="000F1EC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Compared </w:t>
      </w:r>
      <w:proofErr w:type="spellStart"/>
      <w:r>
        <w:rPr>
          <w:lang w:val="en-US"/>
        </w:rPr>
        <w:t>Clavamox</w:t>
      </w:r>
      <w:proofErr w:type="spellEnd"/>
      <w:r w:rsidR="00E74404">
        <w:rPr>
          <w:lang w:val="en-US"/>
        </w:rPr>
        <w:t xml:space="preserve"> (375+250mg)</w:t>
      </w:r>
      <w:r>
        <w:rPr>
          <w:lang w:val="en-US"/>
        </w:rPr>
        <w:t xml:space="preserve"> to Augmentin</w:t>
      </w:r>
      <w:r w:rsidR="00E74404">
        <w:rPr>
          <w:lang w:val="en-US"/>
        </w:rPr>
        <w:t xml:space="preserve"> (625mg)</w:t>
      </w:r>
      <w:r>
        <w:rPr>
          <w:lang w:val="en-US"/>
        </w:rPr>
        <w:t xml:space="preserve"> </w:t>
      </w:r>
      <w:r w:rsidR="00E74404">
        <w:rPr>
          <w:lang w:val="en-US"/>
        </w:rPr>
        <w:t xml:space="preserve"> -- single dose, randomized crossover study </w:t>
      </w:r>
    </w:p>
    <w:p w14:paraId="7150F8C6" w14:textId="77777777" w:rsidR="00E1525F" w:rsidRDefault="00E1525F" w:rsidP="000F1EC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</w:t>
      </w:r>
      <w:r w:rsidRPr="00E1525F">
        <w:rPr>
          <w:lang w:val="en-US"/>
        </w:rPr>
        <w:t>o statistically significant differences between pharmacokinetic parameters of either formulation.</w:t>
      </w:r>
    </w:p>
    <w:p w14:paraId="4A64C3FB" w14:textId="77777777" w:rsidR="00E1525F" w:rsidRDefault="00F31690" w:rsidP="000F1EC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Good relative oral bioavailability </w:t>
      </w:r>
    </w:p>
    <w:p w14:paraId="16BF5E5C" w14:textId="77777777" w:rsidR="00F31690" w:rsidRDefault="00F31690" w:rsidP="000F1EC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High variation of clavulanic acid patient variation in  the veterinary formulation compared to human formulation </w:t>
      </w:r>
    </w:p>
    <w:p w14:paraId="4693B1A9" w14:textId="77777777" w:rsidR="00F31690" w:rsidRDefault="00F31690" w:rsidP="00F31690">
      <w:pPr>
        <w:rPr>
          <w:lang w:val="en-US"/>
        </w:rPr>
      </w:pPr>
    </w:p>
    <w:p w14:paraId="2B1369C0" w14:textId="77777777" w:rsidR="00F31690" w:rsidRDefault="00F31690" w:rsidP="00F31690">
      <w:pPr>
        <w:rPr>
          <w:lang w:val="en-US"/>
        </w:rPr>
      </w:pPr>
      <w:r w:rsidRPr="00F31690">
        <w:rPr>
          <w:noProof/>
          <w:lang w:val="en-US"/>
        </w:rPr>
        <w:lastRenderedPageBreak/>
        <w:drawing>
          <wp:inline distT="0" distB="0" distL="0" distR="0" wp14:anchorId="336C4260" wp14:editId="5B3B19F1">
            <wp:extent cx="5727700" cy="39427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CBDEC" w14:textId="77777777" w:rsidR="00F31690" w:rsidRDefault="007B0ECC" w:rsidP="00F31690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Vaccine rx defined as </w:t>
      </w:r>
      <w:r w:rsidRPr="007B0ECC">
        <w:rPr>
          <w:lang w:val="en-US"/>
        </w:rPr>
        <w:t>relapse of IMHA, vomiting or diarrhea, anaphylaxis, facial swelling, hives, onset of a different immune-mediated disease, or other</w:t>
      </w:r>
    </w:p>
    <w:p w14:paraId="239ED20A" w14:textId="77777777" w:rsidR="007B0ECC" w:rsidRDefault="00DE0DEE" w:rsidP="00F31690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2/22 dogs (9%) had vaccine rx</w:t>
      </w:r>
    </w:p>
    <w:p w14:paraId="1EEC922A" w14:textId="77777777" w:rsidR="00DE0DEE" w:rsidRDefault="00DE0DEE" w:rsidP="00DE0DEE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One had vomiting + urticarial eruption, the other became anemic after rabies &amp; distemper </w:t>
      </w:r>
      <w:proofErr w:type="spellStart"/>
      <w:r>
        <w:rPr>
          <w:lang w:val="en-US"/>
        </w:rPr>
        <w:t>vacc</w:t>
      </w:r>
      <w:proofErr w:type="spellEnd"/>
    </w:p>
    <w:p w14:paraId="74B02880" w14:textId="77777777" w:rsidR="00DE0DEE" w:rsidRPr="00DE0DEE" w:rsidRDefault="00944F66" w:rsidP="00DE0DEE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Median days b/w vaccination and initial IMHA dx = 280 days </w:t>
      </w:r>
    </w:p>
    <w:p w14:paraId="250EAF23" w14:textId="04B1E4E3" w:rsidR="00DE0DEE" w:rsidRDefault="00944F66" w:rsidP="00F31690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Still unsure about relationship b/w initial vaccination and development of IMHA, as well as b/w vaccination and relapse. </w:t>
      </w:r>
    </w:p>
    <w:p w14:paraId="37A68B44" w14:textId="5944C164" w:rsidR="00BA1788" w:rsidRDefault="00BA1788" w:rsidP="00BA1788">
      <w:pPr>
        <w:rPr>
          <w:lang w:val="en-US"/>
        </w:rPr>
      </w:pPr>
    </w:p>
    <w:p w14:paraId="3DBBF2DE" w14:textId="6E610ACF" w:rsidR="00BA1788" w:rsidRDefault="00BA1788" w:rsidP="00BA1788">
      <w:pPr>
        <w:rPr>
          <w:lang w:val="en-US"/>
        </w:rPr>
      </w:pPr>
    </w:p>
    <w:p w14:paraId="1BE89113" w14:textId="441252B4" w:rsidR="00BA1788" w:rsidRDefault="00BA1788" w:rsidP="00BA1788">
      <w:pPr>
        <w:rPr>
          <w:lang w:val="en-US"/>
        </w:rPr>
      </w:pPr>
    </w:p>
    <w:p w14:paraId="0DFBA434" w14:textId="09D70615" w:rsidR="00BA1788" w:rsidRDefault="00BA1788" w:rsidP="00BA1788">
      <w:pPr>
        <w:rPr>
          <w:lang w:val="en-US"/>
        </w:rPr>
      </w:pPr>
    </w:p>
    <w:p w14:paraId="19110708" w14:textId="3D47889C" w:rsidR="00BA1788" w:rsidRDefault="00BA1788" w:rsidP="00BA1788">
      <w:pPr>
        <w:rPr>
          <w:lang w:val="en-US"/>
        </w:rPr>
      </w:pPr>
    </w:p>
    <w:p w14:paraId="7C50A62E" w14:textId="3D0426ED" w:rsidR="00BA1788" w:rsidRDefault="00BA1788" w:rsidP="00BA1788">
      <w:pPr>
        <w:rPr>
          <w:lang w:val="en-US"/>
        </w:rPr>
      </w:pPr>
    </w:p>
    <w:p w14:paraId="63562172" w14:textId="7A4DF9F6" w:rsidR="00BA1788" w:rsidRDefault="00BA1788" w:rsidP="00BA1788">
      <w:pPr>
        <w:rPr>
          <w:lang w:val="en-US"/>
        </w:rPr>
      </w:pPr>
    </w:p>
    <w:p w14:paraId="1C7B539F" w14:textId="4243BAFA" w:rsidR="00BA1788" w:rsidRDefault="00BA1788" w:rsidP="00BA1788">
      <w:pPr>
        <w:rPr>
          <w:lang w:val="en-US"/>
        </w:rPr>
      </w:pPr>
    </w:p>
    <w:p w14:paraId="3B68D5D9" w14:textId="3FE0B52E" w:rsidR="00BA1788" w:rsidRDefault="00BA1788" w:rsidP="00BA1788">
      <w:pPr>
        <w:rPr>
          <w:lang w:val="en-US"/>
        </w:rPr>
      </w:pPr>
    </w:p>
    <w:p w14:paraId="2A938D43" w14:textId="799F1E3A" w:rsidR="00BA1788" w:rsidRDefault="00BA1788" w:rsidP="00BA1788">
      <w:pPr>
        <w:rPr>
          <w:lang w:val="en-US"/>
        </w:rPr>
      </w:pPr>
    </w:p>
    <w:p w14:paraId="68577D92" w14:textId="7F793675" w:rsidR="00BA1788" w:rsidRDefault="00BA1788" w:rsidP="00BA1788">
      <w:pPr>
        <w:rPr>
          <w:lang w:val="en-US"/>
        </w:rPr>
      </w:pPr>
    </w:p>
    <w:p w14:paraId="682B2056" w14:textId="59846A91" w:rsidR="00BA1788" w:rsidRDefault="00BA1788" w:rsidP="00BA1788">
      <w:pPr>
        <w:rPr>
          <w:lang w:val="en-US"/>
        </w:rPr>
      </w:pPr>
    </w:p>
    <w:p w14:paraId="47F92906" w14:textId="3CA797AF" w:rsidR="00BA1788" w:rsidRDefault="00BA1788" w:rsidP="00BA1788">
      <w:pPr>
        <w:rPr>
          <w:lang w:val="en-US"/>
        </w:rPr>
      </w:pPr>
    </w:p>
    <w:p w14:paraId="0472D983" w14:textId="450F2E43" w:rsidR="00BA1788" w:rsidRDefault="00BA1788" w:rsidP="00BA1788">
      <w:pPr>
        <w:rPr>
          <w:lang w:val="en-US"/>
        </w:rPr>
      </w:pPr>
    </w:p>
    <w:p w14:paraId="726E989A" w14:textId="77777777" w:rsidR="00BA1788" w:rsidRPr="00BA1788" w:rsidRDefault="00BA1788" w:rsidP="00BA1788">
      <w:pPr>
        <w:rPr>
          <w:lang w:val="en-US"/>
        </w:rPr>
      </w:pPr>
      <w:bookmarkStart w:id="0" w:name="_GoBack"/>
      <w:bookmarkEnd w:id="0"/>
    </w:p>
    <w:p w14:paraId="3F619646" w14:textId="77777777" w:rsidR="0077270F" w:rsidRDefault="0077270F" w:rsidP="0077270F">
      <w:pPr>
        <w:rPr>
          <w:lang w:val="en-US"/>
        </w:rPr>
      </w:pPr>
    </w:p>
    <w:p w14:paraId="1DCEDCFD" w14:textId="77777777" w:rsidR="0077270F" w:rsidRDefault="0077270F" w:rsidP="0077270F">
      <w:pPr>
        <w:rPr>
          <w:lang w:val="en-US"/>
        </w:rPr>
      </w:pPr>
      <w:r w:rsidRPr="0077270F">
        <w:rPr>
          <w:noProof/>
          <w:lang w:val="en-US"/>
        </w:rPr>
        <w:lastRenderedPageBreak/>
        <w:drawing>
          <wp:inline distT="0" distB="0" distL="0" distR="0" wp14:anchorId="055F0DD1" wp14:editId="2AA1C78B">
            <wp:extent cx="5727700" cy="27736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09C6B" w14:textId="77777777" w:rsidR="0077270F" w:rsidRDefault="0077270F" w:rsidP="0077270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CBC: Neutropenia at 0.9 x 10^3u/L, no bands, monocytosis, nonregenerative anemia  </w:t>
      </w:r>
    </w:p>
    <w:p w14:paraId="467D8BCA" w14:textId="77777777" w:rsidR="00FF4F36" w:rsidRDefault="00FF4F36" w:rsidP="0077270F">
      <w:pPr>
        <w:pStyle w:val="ListParagraph"/>
        <w:numPr>
          <w:ilvl w:val="0"/>
          <w:numId w:val="2"/>
        </w:numPr>
        <w:rPr>
          <w:lang w:val="en-US"/>
        </w:rPr>
      </w:pPr>
      <w:r w:rsidRPr="00577600">
        <w:rPr>
          <w:lang w:val="en-US"/>
        </w:rPr>
        <w:t>Bone marrow aspirate can be performed at 11-12</w:t>
      </w:r>
      <w:r w:rsidRPr="00577600">
        <w:rPr>
          <w:vertAlign w:val="superscript"/>
          <w:lang w:val="en-US"/>
        </w:rPr>
        <w:t>th</w:t>
      </w:r>
      <w:r w:rsidRPr="00577600">
        <w:rPr>
          <w:lang w:val="en-US"/>
        </w:rPr>
        <w:t xml:space="preserve"> costochondral junction under butorphanol IV sedation with local lidocaine block</w:t>
      </w:r>
      <w:r w:rsidR="00577600" w:rsidRPr="00577600">
        <w:rPr>
          <w:lang w:val="en-US"/>
        </w:rPr>
        <w:t xml:space="preserve">; </w:t>
      </w:r>
      <w:r w:rsidRPr="00577600">
        <w:rPr>
          <w:lang w:val="en-US"/>
        </w:rPr>
        <w:t>22G hypodermic needle attached to 3mL syringe</w:t>
      </w:r>
    </w:p>
    <w:p w14:paraId="596892D5" w14:textId="77777777" w:rsidR="00577600" w:rsidRDefault="00577600" w:rsidP="00577600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Disadvantage of utilizing this site:  limited sample size per site, risk of puncturing underlying structures (liver, lung), inability to evaluate marrow architecture </w:t>
      </w:r>
    </w:p>
    <w:p w14:paraId="1BD5D60A" w14:textId="77777777" w:rsidR="00577600" w:rsidRPr="00577600" w:rsidRDefault="00577600" w:rsidP="00577600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However, evaluation of diagnostic quality of these samples has  shown similar results to traditional sites (1970 paper in JSAP and 2014 paper in JVECC)</w:t>
      </w:r>
    </w:p>
    <w:p w14:paraId="7580FD3E" w14:textId="77777777" w:rsidR="008E164E" w:rsidRDefault="008E164E" w:rsidP="0077270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Tx: IV dexamethasone at 2mg/kg prednisone equivalent + mycophenolate (10mg/kg IV q12h)</w:t>
      </w:r>
    </w:p>
    <w:p w14:paraId="70803BE4" w14:textId="77777777" w:rsidR="004A67F3" w:rsidRDefault="004A67F3" w:rsidP="0077270F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Good standard of diagnosis is anti-neutrophil flow cytometry in humans, but has low sensitivity </w:t>
      </w:r>
    </w:p>
    <w:p w14:paraId="02868A26" w14:textId="77777777" w:rsidR="00BE20D6" w:rsidRPr="00BE20D6" w:rsidRDefault="00BE20D6" w:rsidP="00BE20D6">
      <w:pPr>
        <w:rPr>
          <w:lang w:val="en-US"/>
        </w:rPr>
      </w:pPr>
    </w:p>
    <w:sectPr w:rsidR="00BE20D6" w:rsidRPr="00BE20D6" w:rsidSect="007809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687DF9"/>
    <w:multiLevelType w:val="hybridMultilevel"/>
    <w:tmpl w:val="331C487E"/>
    <w:lvl w:ilvl="0" w:tplc="914692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F7165"/>
    <w:multiLevelType w:val="hybridMultilevel"/>
    <w:tmpl w:val="DDE08F98"/>
    <w:lvl w:ilvl="0" w:tplc="B8D40D7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3A"/>
    <w:rsid w:val="000938CC"/>
    <w:rsid w:val="000F1EC3"/>
    <w:rsid w:val="00183F1F"/>
    <w:rsid w:val="0039746C"/>
    <w:rsid w:val="003B0EED"/>
    <w:rsid w:val="0046213A"/>
    <w:rsid w:val="004A67F3"/>
    <w:rsid w:val="00577600"/>
    <w:rsid w:val="005C1796"/>
    <w:rsid w:val="0077270F"/>
    <w:rsid w:val="007809A8"/>
    <w:rsid w:val="007A3CE7"/>
    <w:rsid w:val="007B0ECC"/>
    <w:rsid w:val="008551D0"/>
    <w:rsid w:val="00895DB6"/>
    <w:rsid w:val="008E164E"/>
    <w:rsid w:val="00944F66"/>
    <w:rsid w:val="00AC751B"/>
    <w:rsid w:val="00B5153F"/>
    <w:rsid w:val="00BA1788"/>
    <w:rsid w:val="00BE20D6"/>
    <w:rsid w:val="00D4383A"/>
    <w:rsid w:val="00D745B9"/>
    <w:rsid w:val="00DD40BD"/>
    <w:rsid w:val="00DE0DEE"/>
    <w:rsid w:val="00E1525F"/>
    <w:rsid w:val="00E74404"/>
    <w:rsid w:val="00EC3A3A"/>
    <w:rsid w:val="00EF29CF"/>
    <w:rsid w:val="00F31690"/>
    <w:rsid w:val="00FF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CC8D68"/>
  <w15:chartTrackingRefBased/>
  <w15:docId w15:val="{668FCCBA-A66C-1E4D-A290-7205DFDC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Tong</dc:creator>
  <cp:keywords/>
  <dc:description/>
  <cp:lastModifiedBy>Carissa Tong</cp:lastModifiedBy>
  <cp:revision>26</cp:revision>
  <dcterms:created xsi:type="dcterms:W3CDTF">2019-01-25T17:01:00Z</dcterms:created>
  <dcterms:modified xsi:type="dcterms:W3CDTF">2019-02-07T01:43:00Z</dcterms:modified>
</cp:coreProperties>
</file>