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D43B9" w14:textId="252FE85B" w:rsidR="00B862C0" w:rsidRPr="00C06F42" w:rsidRDefault="00B862C0">
      <w:pPr>
        <w:rPr>
          <w:rFonts w:ascii="Calibri" w:hAnsi="Calibri" w:cs="Calibri"/>
        </w:rPr>
      </w:pPr>
      <w:r w:rsidRPr="00C06F42">
        <w:rPr>
          <w:rFonts w:ascii="Calibri" w:hAnsi="Calibri" w:cs="Calibri"/>
        </w:rPr>
        <w:t>February – April 2019</w:t>
      </w:r>
    </w:p>
    <w:p w14:paraId="39F1B9BC" w14:textId="71FCF37D" w:rsidR="00B862C0" w:rsidRPr="00C06F42" w:rsidRDefault="00B862C0">
      <w:pPr>
        <w:rPr>
          <w:rFonts w:ascii="Calibri" w:hAnsi="Calibri" w:cs="Calibri"/>
        </w:rPr>
      </w:pPr>
    </w:p>
    <w:p w14:paraId="10160517" w14:textId="2519D7A4" w:rsidR="00B862C0" w:rsidRPr="00C06F42" w:rsidRDefault="00B862C0">
      <w:pPr>
        <w:rPr>
          <w:rFonts w:ascii="Calibri" w:hAnsi="Calibri" w:cs="Calibri"/>
          <w:b/>
          <w:u w:val="single"/>
        </w:rPr>
      </w:pPr>
      <w:r w:rsidRPr="00C06F42">
        <w:rPr>
          <w:rFonts w:ascii="Calibri" w:hAnsi="Calibri" w:cs="Calibri"/>
          <w:b/>
          <w:u w:val="single"/>
        </w:rPr>
        <w:t xml:space="preserve">J Vet Radiology and Ultrasound </w:t>
      </w:r>
    </w:p>
    <w:p w14:paraId="6B727888" w14:textId="62C1EECC" w:rsidR="000F7C61" w:rsidRDefault="000F7C61">
      <w:pPr>
        <w:rPr>
          <w:rFonts w:ascii="Calibri" w:hAnsi="Calibri" w:cs="Calibri"/>
        </w:rPr>
      </w:pPr>
      <w:r w:rsidRPr="00C06F42">
        <w:rPr>
          <w:rFonts w:ascii="Calibri" w:hAnsi="Calibri" w:cs="Calibri"/>
          <w:noProof/>
        </w:rPr>
        <w:drawing>
          <wp:inline distT="0" distB="0" distL="0" distR="0" wp14:anchorId="0A033DBA" wp14:editId="0AFBE1C1">
            <wp:extent cx="5943600" cy="51231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2E459" w14:textId="335CE7C6" w:rsidR="00282BD2" w:rsidRDefault="00C213B4" w:rsidP="00282BD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Emphysematous gastritis is a much more severe disease compared to gastric emphysema </w:t>
      </w:r>
    </w:p>
    <w:p w14:paraId="0E346FDF" w14:textId="08C52967" w:rsidR="00366F97" w:rsidRDefault="00366F97" w:rsidP="00282BD2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Spontaneous gastric pneumatosis</w:t>
      </w:r>
      <w:r w:rsidR="0020374D">
        <w:rPr>
          <w:rFonts w:ascii="Calibri" w:hAnsi="Calibri" w:cs="Calibri"/>
        </w:rPr>
        <w:t xml:space="preserve"> can occur w/o GDV </w:t>
      </w:r>
    </w:p>
    <w:p w14:paraId="0ED21742" w14:textId="432B8251" w:rsidR="009F0933" w:rsidRDefault="009F0933" w:rsidP="009F0933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Resolved w/ medical management </w:t>
      </w:r>
      <w:r w:rsidRPr="009F0933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good outcome </w:t>
      </w:r>
    </w:p>
    <w:p w14:paraId="7733414D" w14:textId="28B08937" w:rsidR="003A5ED1" w:rsidRDefault="003A5ED1" w:rsidP="009F0933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Can develop portal gas </w:t>
      </w:r>
      <w:r w:rsidRPr="003A5ED1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does not affect prognosis in people or in pets</w:t>
      </w:r>
    </w:p>
    <w:p w14:paraId="178CD002" w14:textId="6F85EA3A" w:rsidR="003A5ED1" w:rsidRDefault="003A5ED1" w:rsidP="009F0933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Can develop pneumoperitoneum d/t gas diffusion from gastric wall to peritoneum </w:t>
      </w:r>
    </w:p>
    <w:p w14:paraId="6394621F" w14:textId="2A768099" w:rsidR="008212E1" w:rsidRDefault="00FD5F59" w:rsidP="008212E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Pets w/ emphysematous gastritis had severe clinical signs and had poor outcome </w:t>
      </w:r>
      <w:r w:rsidRPr="00FD5F59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all euthanized </w:t>
      </w:r>
    </w:p>
    <w:p w14:paraId="1F3030A5" w14:textId="3AF8497A" w:rsidR="003A5ED1" w:rsidRDefault="003A5ED1" w:rsidP="003A5ED1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May have association to NSAID and corticosteroid use</w:t>
      </w:r>
    </w:p>
    <w:p w14:paraId="6227B026" w14:textId="23C736DE" w:rsidR="003A5ED1" w:rsidRDefault="003A5ED1" w:rsidP="003A5ED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Diagnostic steps: abdominal radiographs &amp; ultrasound </w:t>
      </w:r>
      <w:r w:rsidRPr="003A5ED1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if suspect emphysematous  gastritis, should perform endoscopy</w:t>
      </w:r>
    </w:p>
    <w:p w14:paraId="2C90B393" w14:textId="3F667E8B" w:rsidR="003A5ED1" w:rsidRDefault="003A5ED1" w:rsidP="003A5ED1">
      <w:pPr>
        <w:pStyle w:val="ListParagraph"/>
        <w:numPr>
          <w:ilvl w:val="1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If identify evidence of gastric wall necrosis (areas of white, yellow or  brown tissues as well as  green-black exudate) </w:t>
      </w:r>
      <w:r w:rsidRPr="003A5ED1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emergency explore recommended </w:t>
      </w:r>
    </w:p>
    <w:p w14:paraId="5A116F17" w14:textId="2B6F22B0" w:rsidR="00E42691" w:rsidRDefault="00E42691" w:rsidP="00E4269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Lethargy, pyrexia, hematemesis, leukocytosis or hypoalbuminemia may differentiate emphysematous gastritis from gastric emphysema </w:t>
      </w:r>
    </w:p>
    <w:p w14:paraId="649F1AEA" w14:textId="5981DFE4" w:rsidR="008212E1" w:rsidRDefault="00E42691" w:rsidP="00E42691">
      <w:pPr>
        <w:rPr>
          <w:rFonts w:ascii="Calibri" w:hAnsi="Calibri" w:cs="Calibri"/>
        </w:rPr>
      </w:pPr>
      <w:r w:rsidRPr="00E42691">
        <w:rPr>
          <w:rFonts w:ascii="Calibri" w:hAnsi="Calibri" w:cs="Calibri"/>
        </w:rPr>
        <w:drawing>
          <wp:inline distT="0" distB="0" distL="0" distR="0" wp14:anchorId="5858C6A5" wp14:editId="6FF0AAA4">
            <wp:extent cx="5943600" cy="63207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7178D" w14:textId="3897F8FD" w:rsidR="00E42691" w:rsidRPr="00E42691" w:rsidRDefault="00E42691" w:rsidP="00E42691">
      <w:pPr>
        <w:rPr>
          <w:rFonts w:ascii="Calibri" w:hAnsi="Calibri" w:cs="Calibri"/>
        </w:rPr>
      </w:pPr>
      <w:r>
        <w:rPr>
          <w:rFonts w:ascii="Calibri" w:hAnsi="Calibri" w:cs="Calibri"/>
        </w:rPr>
        <w:t>Dog 1 had emphysematous gastritis (post-mortem diagnosis)</w:t>
      </w:r>
    </w:p>
    <w:p w14:paraId="737C0A1E" w14:textId="4E852311" w:rsidR="0024724D" w:rsidRPr="008212E1" w:rsidRDefault="000F7C61" w:rsidP="008212E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06F42">
        <w:rPr>
          <w:noProof/>
        </w:rPr>
        <w:lastRenderedPageBreak/>
        <w:drawing>
          <wp:inline distT="0" distB="0" distL="0" distR="0" wp14:anchorId="03F5C760" wp14:editId="474B4503">
            <wp:extent cx="5943600" cy="55994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0B573" w14:textId="61A42867" w:rsidR="00C40E1F" w:rsidRDefault="00A56ABD" w:rsidP="00C40E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Reduced renal perfusion and capillary rarefaction are implicated in CKD progressions in people</w:t>
      </w:r>
    </w:p>
    <w:p w14:paraId="71AED4C7" w14:textId="27304AA5" w:rsidR="00A56ABD" w:rsidRDefault="00A56ABD" w:rsidP="00C40E1F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Doppler US can only evaluate macrovascular perfusion, whereas contrast-enhanced US can estimate microvascular perfusion</w:t>
      </w:r>
    </w:p>
    <w:p w14:paraId="71820C2C" w14:textId="3275236A" w:rsidR="000F7C61" w:rsidRDefault="00A56ABD" w:rsidP="008E0838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In people, this parallels effective renal plasma flow</w:t>
      </w:r>
    </w:p>
    <w:p w14:paraId="5C4E8375" w14:textId="77777777" w:rsidR="008E0838" w:rsidRDefault="008E0838" w:rsidP="008E08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Dogs were imaged pre and post-contrast by a 3</w:t>
      </w:r>
      <w:r w:rsidRPr="008E0838">
        <w:rPr>
          <w:rFonts w:ascii="Calibri" w:hAnsi="Calibri" w:cs="Calibri"/>
          <w:vertAlign w:val="superscript"/>
        </w:rPr>
        <w:t>rd</w:t>
      </w:r>
      <w:r>
        <w:rPr>
          <w:rFonts w:ascii="Calibri" w:hAnsi="Calibri" w:cs="Calibri"/>
        </w:rPr>
        <w:t xml:space="preserve"> year radiology resident</w:t>
      </w:r>
    </w:p>
    <w:p w14:paraId="52DC7119" w14:textId="4B160CD3" w:rsidR="008E0838" w:rsidRDefault="008E0838" w:rsidP="008E08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Dogs were given 0.04mL/kg of a microbubble contrast agent </w:t>
      </w:r>
    </w:p>
    <w:p w14:paraId="27F6D505" w14:textId="313B0699" w:rsidR="008E0838" w:rsidRPr="008E0838" w:rsidRDefault="00590E46" w:rsidP="008E083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Results:  found large variation </w:t>
      </w:r>
      <w:r w:rsidR="00711A48">
        <w:rPr>
          <w:rFonts w:ascii="Calibri" w:hAnsi="Calibri" w:cs="Calibri"/>
        </w:rPr>
        <w:t>in contrast-enhanced US, m</w:t>
      </w:r>
      <w:r w:rsidR="008E0838">
        <w:rPr>
          <w:rFonts w:ascii="Calibri" w:hAnsi="Calibri" w:cs="Calibri"/>
        </w:rPr>
        <w:t xml:space="preserve">ay only be useful in detecting unilateral changes in renal perfusion </w:t>
      </w:r>
    </w:p>
    <w:p w14:paraId="0A0037AF" w14:textId="3F90025E" w:rsidR="002519F4" w:rsidRDefault="002519F4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- </w:t>
      </w:r>
      <w:r w:rsidR="0024724D" w:rsidRPr="00C06F42">
        <w:rPr>
          <w:rFonts w:ascii="Calibri" w:hAnsi="Calibri" w:cs="Calibri"/>
          <w:noProof/>
        </w:rPr>
        <w:drawing>
          <wp:inline distT="0" distB="0" distL="0" distR="0" wp14:anchorId="501C4807" wp14:editId="5705F80D">
            <wp:extent cx="5943600" cy="35801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7B501" w14:textId="3CD472FE" w:rsidR="002519F4" w:rsidRDefault="002519F4" w:rsidP="002519F4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Pythium </w:t>
      </w:r>
      <w:proofErr w:type="spellStart"/>
      <w:r>
        <w:rPr>
          <w:rFonts w:ascii="Calibri" w:hAnsi="Calibri" w:cs="Calibri"/>
        </w:rPr>
        <w:t>insidiosum</w:t>
      </w:r>
      <w:proofErr w:type="spellEnd"/>
      <w:r>
        <w:rPr>
          <w:rFonts w:ascii="Calibri" w:hAnsi="Calibri" w:cs="Calibri"/>
        </w:rPr>
        <w:t xml:space="preserve"> = etiologic agent </w:t>
      </w:r>
      <w:r w:rsidR="001E6200">
        <w:rPr>
          <w:rFonts w:ascii="Calibri" w:hAnsi="Calibri" w:cs="Calibri"/>
        </w:rPr>
        <w:t xml:space="preserve">for </w:t>
      </w:r>
      <w:proofErr w:type="spellStart"/>
      <w:r w:rsidR="001E6200">
        <w:rPr>
          <w:rFonts w:ascii="Calibri" w:hAnsi="Calibri" w:cs="Calibri"/>
        </w:rPr>
        <w:t>pythiosis</w:t>
      </w:r>
      <w:proofErr w:type="spellEnd"/>
    </w:p>
    <w:p w14:paraId="3D4C60ED" w14:textId="27CA5BAC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Most prevalent in the r regions bordering the Gulf of Mexico</w:t>
      </w:r>
    </w:p>
    <w:p w14:paraId="192BAAAE" w14:textId="6EF9355D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 xml:space="preserve">Appears </w:t>
      </w:r>
      <w:proofErr w:type="spellEnd"/>
      <w:r>
        <w:rPr>
          <w:rFonts w:ascii="Calibri" w:hAnsi="Calibri" w:cs="Calibri"/>
        </w:rPr>
        <w:t xml:space="preserve">like a fungus but related to algae and </w:t>
      </w:r>
      <w:proofErr w:type="spellStart"/>
      <w:r>
        <w:rPr>
          <w:rFonts w:ascii="Calibri" w:hAnsi="Calibri" w:cs="Calibri"/>
        </w:rPr>
        <w:t>diatomaea</w:t>
      </w:r>
      <w:proofErr w:type="spellEnd"/>
      <w:r>
        <w:rPr>
          <w:rFonts w:ascii="Calibri" w:hAnsi="Calibri" w:cs="Calibri"/>
        </w:rPr>
        <w:t xml:space="preserve"> </w:t>
      </w:r>
    </w:p>
    <w:p w14:paraId="698116AF" w14:textId="0F49CE2E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Infection can be cutaneous, GI, and rarely systemic</w:t>
      </w:r>
    </w:p>
    <w:p w14:paraId="1D776353" w14:textId="224BABD0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Dogs:  majority of signs are GI and less commonly cutaneous </w:t>
      </w:r>
    </w:p>
    <w:p w14:paraId="4C0B1F9B" w14:textId="10A0C9A3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Motile zoospores </w:t>
      </w:r>
      <w:r w:rsidRPr="001E6200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chemotaxis towards animal hair, wounds, and intestinal mucosa </w:t>
      </w:r>
    </w:p>
    <w:p w14:paraId="03643907" w14:textId="6FEE210B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Pulmonary form (as reported) either via ingestion or inoculation from a cutaneous wound</w:t>
      </w:r>
    </w:p>
    <w:p w14:paraId="1D7691F8" w14:textId="3163D067" w:rsidR="001E6200" w:rsidRDefault="001E6200" w:rsidP="001E6200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Diagnosis:</w:t>
      </w:r>
    </w:p>
    <w:p w14:paraId="5D3ED489" w14:textId="57FC8F6C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Cytology </w:t>
      </w:r>
      <w:r w:rsidRPr="001E6200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hyphae </w:t>
      </w:r>
    </w:p>
    <w:p w14:paraId="085178C8" w14:textId="7A696512" w:rsidR="001E6200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ELISA </w:t>
      </w:r>
    </w:p>
    <w:p w14:paraId="38574AB7" w14:textId="794828B7" w:rsidR="001E6200" w:rsidRPr="002519F4" w:rsidRDefault="001E6200" w:rsidP="001E6200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PCR testing </w:t>
      </w:r>
    </w:p>
    <w:p w14:paraId="79FF2E75" w14:textId="4DA63B1C" w:rsidR="002519F4" w:rsidRDefault="002519F4">
      <w:pPr>
        <w:rPr>
          <w:rFonts w:ascii="Calibri" w:hAnsi="Calibri" w:cs="Calibri"/>
        </w:rPr>
      </w:pPr>
    </w:p>
    <w:p w14:paraId="7D367DB4" w14:textId="77777777" w:rsidR="002519F4" w:rsidRPr="00C06F42" w:rsidRDefault="002519F4">
      <w:pPr>
        <w:rPr>
          <w:rFonts w:ascii="Calibri" w:hAnsi="Calibri" w:cs="Calibri"/>
        </w:rPr>
      </w:pPr>
    </w:p>
    <w:p w14:paraId="45329F5D" w14:textId="4218946B" w:rsidR="00A714EB" w:rsidRPr="00C06F42" w:rsidRDefault="00A714EB">
      <w:pPr>
        <w:rPr>
          <w:rFonts w:ascii="Calibri" w:hAnsi="Calibri" w:cs="Calibri"/>
        </w:rPr>
      </w:pPr>
    </w:p>
    <w:p w14:paraId="44AAEBE3" w14:textId="018DCF03" w:rsidR="00A714EB" w:rsidRDefault="00A714EB">
      <w:pPr>
        <w:rPr>
          <w:rFonts w:ascii="Calibri" w:hAnsi="Calibri" w:cs="Calibri"/>
        </w:rPr>
      </w:pPr>
      <w:r w:rsidRPr="00C06F42">
        <w:rPr>
          <w:rFonts w:ascii="Calibri" w:hAnsi="Calibri" w:cs="Calibri"/>
          <w:noProof/>
        </w:rPr>
        <w:lastRenderedPageBreak/>
        <w:drawing>
          <wp:inline distT="0" distB="0" distL="0" distR="0" wp14:anchorId="30E0B537" wp14:editId="3171BEC8">
            <wp:extent cx="5943600" cy="38455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B5645" w14:textId="1B0EE21B" w:rsidR="00254681" w:rsidRDefault="00885779" w:rsidP="00254681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Duplication cysts of the GIT are uncommon malformation </w:t>
      </w:r>
      <w:r w:rsidRPr="00885779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suspect congenital </w:t>
      </w:r>
    </w:p>
    <w:p w14:paraId="2504EB92" w14:textId="70AA1EA1" w:rsidR="00885779" w:rsidRDefault="00885779" w:rsidP="00254681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Can be communicating or noncommunicating w/ the GIT lumen</w:t>
      </w:r>
    </w:p>
    <w:p w14:paraId="4965FDA0" w14:textId="5C55263A" w:rsidR="00885779" w:rsidRDefault="00885779" w:rsidP="00885779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Can be tubular or spherical </w:t>
      </w:r>
    </w:p>
    <w:p w14:paraId="49A85A55" w14:textId="65382CAE" w:rsidR="00885779" w:rsidRDefault="00885779" w:rsidP="00885779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Histopathology for diagnosis</w:t>
      </w:r>
    </w:p>
    <w:p w14:paraId="3183E133" w14:textId="00949C6D" w:rsidR="00885779" w:rsidRPr="00885779" w:rsidRDefault="00885779" w:rsidP="004850B4">
      <w:pPr>
        <w:pStyle w:val="ListParagraph"/>
        <w:numPr>
          <w:ilvl w:val="0"/>
          <w:numId w:val="4"/>
        </w:numPr>
        <w:shd w:val="clear" w:color="auto" w:fill="FFFFFF"/>
        <w:rPr>
          <w:rFonts w:ascii="Calibri" w:eastAsia="Times New Roman" w:hAnsi="Calibri" w:cs="Calibri"/>
        </w:rPr>
      </w:pPr>
      <w:r w:rsidRPr="00885779">
        <w:rPr>
          <w:rFonts w:ascii="Calibri" w:eastAsia="Times New Roman" w:hAnsi="Calibri" w:cs="Calibri"/>
        </w:rPr>
        <w:t xml:space="preserve">The speculated developmental pathogenesis of intestinal duplication cysts </w:t>
      </w:r>
      <w:r w:rsidRPr="00885779">
        <w:rPr>
          <w:rFonts w:ascii="Calibri" w:eastAsia="Times New Roman" w:hAnsi="Calibri" w:cs="Calibri"/>
        </w:rPr>
        <w:sym w:font="Wingdings" w:char="F0E0"/>
      </w:r>
      <w:r w:rsidRPr="00885779">
        <w:rPr>
          <w:rFonts w:ascii="Calibri" w:eastAsia="Times New Roman" w:hAnsi="Calibri" w:cs="Calibri"/>
        </w:rPr>
        <w:t xml:space="preserve"> involve failure of normal canalization of the </w:t>
      </w:r>
      <w:r w:rsidR="008D24D9" w:rsidRPr="00885779">
        <w:rPr>
          <w:rFonts w:ascii="Calibri" w:eastAsia="Times New Roman" w:hAnsi="Calibri" w:cs="Calibri"/>
        </w:rPr>
        <w:t>developing</w:t>
      </w:r>
      <w:bookmarkStart w:id="0" w:name="_GoBack"/>
      <w:bookmarkEnd w:id="0"/>
      <w:r w:rsidRPr="00885779">
        <w:rPr>
          <w:rFonts w:ascii="Calibri" w:eastAsia="Times New Roman" w:hAnsi="Calibri" w:cs="Calibri"/>
        </w:rPr>
        <w:t xml:space="preserve"> gut and/or formation of abnormal connections between</w:t>
      </w:r>
      <w:r>
        <w:rPr>
          <w:rFonts w:ascii="Calibri" w:eastAsia="Times New Roman" w:hAnsi="Calibri" w:cs="Calibri"/>
        </w:rPr>
        <w:t xml:space="preserve"> </w:t>
      </w:r>
      <w:r w:rsidRPr="00885779">
        <w:rPr>
          <w:rFonts w:ascii="Calibri" w:eastAsia="Times New Roman" w:hAnsi="Calibri" w:cs="Calibri"/>
        </w:rPr>
        <w:t>the neural ectoderm and intestinal endoderm</w:t>
      </w:r>
    </w:p>
    <w:p w14:paraId="4CB1E0FD" w14:textId="0E581C09" w:rsidR="00885779" w:rsidRDefault="00885779" w:rsidP="00885779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They can cause intestinal obstructions </w:t>
      </w:r>
      <w:r w:rsidRPr="00885779">
        <w:rPr>
          <w:rFonts w:ascii="Calibri" w:hAnsi="Calibri" w:cs="Calibri"/>
        </w:rPr>
        <w:sym w:font="Wingdings" w:char="F0E0"/>
      </w:r>
      <w:r>
        <w:rPr>
          <w:rFonts w:ascii="Calibri" w:hAnsi="Calibri" w:cs="Calibri"/>
        </w:rPr>
        <w:t xml:space="preserve"> surgical explore to resect said cyst </w:t>
      </w:r>
    </w:p>
    <w:p w14:paraId="4D277B99" w14:textId="3CF7235B" w:rsidR="00885779" w:rsidRPr="00885779" w:rsidRDefault="00885779" w:rsidP="00885779">
      <w:pPr>
        <w:rPr>
          <w:rFonts w:ascii="Calibri" w:hAnsi="Calibri" w:cs="Calibri"/>
        </w:rPr>
      </w:pPr>
      <w:r w:rsidRPr="00885779">
        <w:rPr>
          <w:rFonts w:ascii="Calibri" w:hAnsi="Calibri" w:cs="Calibri"/>
        </w:rPr>
        <w:lastRenderedPageBreak/>
        <w:drawing>
          <wp:inline distT="0" distB="0" distL="0" distR="0" wp14:anchorId="70143D30" wp14:editId="53E95D02">
            <wp:extent cx="5943600" cy="39179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12988" w14:textId="77777777" w:rsidR="00B862C0" w:rsidRPr="00C06F42" w:rsidRDefault="00B862C0">
      <w:pPr>
        <w:rPr>
          <w:rFonts w:ascii="Calibri" w:hAnsi="Calibri" w:cs="Calibri"/>
        </w:rPr>
      </w:pPr>
    </w:p>
    <w:p w14:paraId="013A505A" w14:textId="77777777" w:rsidR="00277C4F" w:rsidRPr="00C06F42" w:rsidRDefault="00277C4F">
      <w:pPr>
        <w:rPr>
          <w:rFonts w:ascii="Calibri" w:hAnsi="Calibri" w:cs="Calibri"/>
        </w:rPr>
      </w:pPr>
    </w:p>
    <w:p w14:paraId="0AC08776" w14:textId="77777777" w:rsidR="00277C4F" w:rsidRPr="00C06F42" w:rsidRDefault="00277C4F">
      <w:pPr>
        <w:rPr>
          <w:rFonts w:ascii="Calibri" w:hAnsi="Calibri" w:cs="Calibri"/>
        </w:rPr>
      </w:pPr>
    </w:p>
    <w:p w14:paraId="09A451C1" w14:textId="35294172" w:rsidR="00B862C0" w:rsidRPr="00C06F42" w:rsidRDefault="00B862C0">
      <w:pPr>
        <w:rPr>
          <w:rFonts w:ascii="Calibri" w:hAnsi="Calibri" w:cs="Calibri"/>
          <w:b/>
          <w:u w:val="single"/>
        </w:rPr>
      </w:pPr>
      <w:r w:rsidRPr="00C06F42">
        <w:rPr>
          <w:rFonts w:ascii="Calibri" w:hAnsi="Calibri" w:cs="Calibri"/>
          <w:b/>
          <w:u w:val="single"/>
        </w:rPr>
        <w:t>JAAHA</w:t>
      </w:r>
    </w:p>
    <w:p w14:paraId="5A2B69E2" w14:textId="6DAA8285" w:rsidR="0057740D" w:rsidRPr="00C06F42" w:rsidRDefault="0057740D">
      <w:pPr>
        <w:rPr>
          <w:rFonts w:ascii="Calibri" w:hAnsi="Calibri" w:cs="Calibri"/>
        </w:rPr>
      </w:pPr>
      <w:r w:rsidRPr="00C06F42">
        <w:rPr>
          <w:rFonts w:ascii="Calibri" w:hAnsi="Calibri" w:cs="Calibri"/>
          <w:noProof/>
        </w:rPr>
        <w:lastRenderedPageBreak/>
        <w:drawing>
          <wp:inline distT="0" distB="0" distL="0" distR="0" wp14:anchorId="79081115" wp14:editId="491284DF">
            <wp:extent cx="5943600" cy="475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E29A5" w14:textId="4BE90FBC" w:rsidR="003932A0" w:rsidRPr="00C06F42" w:rsidRDefault="00286864" w:rsidP="003932A0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>Alfaxalone MOA: CNS depression by activity at GABA-A receptors</w:t>
      </w:r>
    </w:p>
    <w:p w14:paraId="470D711E" w14:textId="3429D5AC" w:rsidR="00332F53" w:rsidRPr="00C06F42" w:rsidRDefault="00332F53" w:rsidP="00332F53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>Short acting, non-irritant, non-cumulative</w:t>
      </w:r>
    </w:p>
    <w:p w14:paraId="43F6E8AC" w14:textId="254EA031" w:rsidR="00332F53" w:rsidRPr="00C06F42" w:rsidRDefault="00332F53" w:rsidP="00332F53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Dose-dependent sedation, decrease in HR, arterial BP and SVR </w:t>
      </w:r>
    </w:p>
    <w:p w14:paraId="54643278" w14:textId="695E2B72" w:rsidR="003C70FB" w:rsidRPr="00C06F42" w:rsidRDefault="003C70FB" w:rsidP="003C70F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Administration to ALF did not change echocardiographic variables except </w:t>
      </w:r>
      <w:proofErr w:type="spellStart"/>
      <w:r w:rsidRPr="00C06F42">
        <w:rPr>
          <w:rFonts w:ascii="Calibri" w:hAnsi="Calibri" w:cs="Calibri"/>
        </w:rPr>
        <w:t>Ao</w:t>
      </w:r>
      <w:proofErr w:type="spellEnd"/>
      <w:r w:rsidRPr="00C06F42">
        <w:rPr>
          <w:rFonts w:ascii="Calibri" w:hAnsi="Calibri" w:cs="Calibri"/>
        </w:rPr>
        <w:t xml:space="preserve"> diameter </w:t>
      </w:r>
    </w:p>
    <w:p w14:paraId="5CB5925F" w14:textId="15771236" w:rsidR="0063285E" w:rsidRPr="00C06F42" w:rsidRDefault="0063285E" w:rsidP="0063285E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Unsure if this is applicable to cats w/ underlying heart disease </w:t>
      </w:r>
    </w:p>
    <w:p w14:paraId="14024BF4" w14:textId="79082694" w:rsidR="0063285E" w:rsidRPr="00C06F42" w:rsidRDefault="0063285E" w:rsidP="0063285E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>May be useful in fractious cats that requires echo?</w:t>
      </w:r>
    </w:p>
    <w:p w14:paraId="48BCE56A" w14:textId="6AEC09DB" w:rsidR="00B11049" w:rsidRPr="00C06F42" w:rsidRDefault="00B11049" w:rsidP="00B11049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ALF also did not alter biochemical or blood gas variables </w:t>
      </w:r>
    </w:p>
    <w:p w14:paraId="1D724AC3" w14:textId="44AAD86E" w:rsidR="003932A0" w:rsidRPr="00C06F42" w:rsidRDefault="003932A0" w:rsidP="003932A0">
      <w:pPr>
        <w:rPr>
          <w:rFonts w:ascii="Calibri" w:hAnsi="Calibri" w:cs="Calibri"/>
        </w:rPr>
      </w:pPr>
    </w:p>
    <w:p w14:paraId="693DD9A3" w14:textId="58FBBA5C" w:rsidR="003932A0" w:rsidRPr="00C06F42" w:rsidRDefault="003932A0" w:rsidP="003932A0">
      <w:pPr>
        <w:tabs>
          <w:tab w:val="left" w:pos="7120"/>
        </w:tabs>
        <w:rPr>
          <w:rFonts w:ascii="Calibri" w:hAnsi="Calibri" w:cs="Calibri"/>
        </w:rPr>
      </w:pPr>
    </w:p>
    <w:p w14:paraId="5DF28D4F" w14:textId="61FF3750" w:rsidR="00610B1B" w:rsidRPr="00C06F42" w:rsidRDefault="0057740D">
      <w:pPr>
        <w:rPr>
          <w:rFonts w:ascii="Calibri" w:hAnsi="Calibri" w:cs="Calibri"/>
        </w:rPr>
      </w:pPr>
      <w:r w:rsidRPr="00C06F42">
        <w:rPr>
          <w:rFonts w:ascii="Calibri" w:hAnsi="Calibri" w:cs="Calibri"/>
          <w:noProof/>
        </w:rPr>
        <w:lastRenderedPageBreak/>
        <w:drawing>
          <wp:inline distT="0" distB="0" distL="0" distR="0" wp14:anchorId="4F030794" wp14:editId="3257E616">
            <wp:extent cx="5943600" cy="43865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B02A4" w14:textId="55AF2649" w:rsidR="0057740D" w:rsidRPr="00C06F42" w:rsidRDefault="006F3D93" w:rsidP="00610B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Hypertriglyceridemia (HTG) is a reported risk factor </w:t>
      </w:r>
      <w:r w:rsidR="005B2F37" w:rsidRPr="00C06F42">
        <w:rPr>
          <w:rFonts w:ascii="Calibri" w:hAnsi="Calibri" w:cs="Calibri"/>
        </w:rPr>
        <w:t>for pancreatitis in humans</w:t>
      </w:r>
    </w:p>
    <w:p w14:paraId="1E7126AC" w14:textId="72A965BB" w:rsidR="00C02AAF" w:rsidRPr="00C06F42" w:rsidRDefault="00C02AAF" w:rsidP="00610B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>Defined HTG as serum triglyceride &gt; 116 mg/dL</w:t>
      </w:r>
      <w:r w:rsidR="00D41671" w:rsidRPr="00C06F42">
        <w:rPr>
          <w:rFonts w:ascii="Calibri" w:hAnsi="Calibri" w:cs="Calibri"/>
        </w:rPr>
        <w:t xml:space="preserve"> after 12 hours of fasting</w:t>
      </w:r>
    </w:p>
    <w:p w14:paraId="56856C73" w14:textId="1360CD1B" w:rsidR="00074668" w:rsidRPr="00C06F42" w:rsidRDefault="00074668" w:rsidP="00610B1B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Proposed mechanisms for how HTG </w:t>
      </w:r>
      <w:proofErr w:type="gramStart"/>
      <w:r w:rsidRPr="00C06F42">
        <w:rPr>
          <w:rFonts w:ascii="Calibri" w:hAnsi="Calibri" w:cs="Calibri"/>
        </w:rPr>
        <w:t>causes</w:t>
      </w:r>
      <w:proofErr w:type="gramEnd"/>
      <w:r w:rsidRPr="00C06F42">
        <w:rPr>
          <w:rFonts w:ascii="Calibri" w:hAnsi="Calibri" w:cs="Calibri"/>
        </w:rPr>
        <w:t xml:space="preserve"> pancreatitis</w:t>
      </w:r>
    </w:p>
    <w:p w14:paraId="03A9301F" w14:textId="3685AB58" w:rsidR="00074668" w:rsidRPr="00C06F42" w:rsidRDefault="00074668" w:rsidP="0007466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Hydrolysis of triglycerides by pancreatic lipase </w:t>
      </w:r>
      <w:r w:rsidRPr="00C06F42">
        <w:rPr>
          <w:rFonts w:ascii="Calibri" w:hAnsi="Calibri" w:cs="Calibri"/>
        </w:rPr>
        <w:sym w:font="Wingdings" w:char="F0E0"/>
      </w:r>
      <w:r w:rsidRPr="00C06F42">
        <w:rPr>
          <w:rFonts w:ascii="Calibri" w:hAnsi="Calibri" w:cs="Calibri"/>
        </w:rPr>
        <w:t xml:space="preserve"> high concentration of plasma FFA </w:t>
      </w:r>
      <w:r w:rsidRPr="00C06F42">
        <w:rPr>
          <w:rFonts w:ascii="Calibri" w:hAnsi="Calibri" w:cs="Calibri"/>
        </w:rPr>
        <w:sym w:font="Wingdings" w:char="F0E0"/>
      </w:r>
      <w:r w:rsidRPr="00C06F42">
        <w:rPr>
          <w:rFonts w:ascii="Calibri" w:hAnsi="Calibri" w:cs="Calibri"/>
        </w:rPr>
        <w:t xml:space="preserve"> cytotoxic, causes pancreatic acinar cell or capillary injury </w:t>
      </w:r>
    </w:p>
    <w:p w14:paraId="410B268F" w14:textId="50BA47E0" w:rsidR="00074668" w:rsidRPr="00C06F42" w:rsidRDefault="00074668" w:rsidP="0007466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Increased FFA can </w:t>
      </w:r>
      <w:proofErr w:type="spellStart"/>
      <w:r w:rsidRPr="00C06F42">
        <w:rPr>
          <w:rFonts w:ascii="Calibri" w:hAnsi="Calibri" w:cs="Calibri"/>
        </w:rPr>
        <w:t>incr</w:t>
      </w:r>
      <w:proofErr w:type="spellEnd"/>
      <w:r w:rsidRPr="00C06F42">
        <w:rPr>
          <w:rFonts w:ascii="Calibri" w:hAnsi="Calibri" w:cs="Calibri"/>
        </w:rPr>
        <w:t xml:space="preserve"> concentration of chylomicrons </w:t>
      </w:r>
      <w:r w:rsidRPr="00C06F42">
        <w:rPr>
          <w:rFonts w:ascii="Calibri" w:hAnsi="Calibri" w:cs="Calibri"/>
        </w:rPr>
        <w:sym w:font="Wingdings" w:char="F0E0"/>
      </w:r>
      <w:r w:rsidRPr="00C06F42">
        <w:rPr>
          <w:rFonts w:ascii="Calibri" w:hAnsi="Calibri" w:cs="Calibri"/>
        </w:rPr>
        <w:t xml:space="preserve"> activation of trypsinogen and initiate pancreatitis </w:t>
      </w:r>
    </w:p>
    <w:p w14:paraId="15643FBC" w14:textId="0851830E" w:rsidR="00074668" w:rsidRPr="00C06F42" w:rsidRDefault="00074668" w:rsidP="00074668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06F42">
        <w:rPr>
          <w:rFonts w:ascii="Calibri" w:hAnsi="Calibri" w:cs="Calibri"/>
        </w:rPr>
        <w:t xml:space="preserve">Accumulation of chylomicrons in microcirculation disrupts blood flow in pancreatic capillary </w:t>
      </w:r>
      <w:r w:rsidRPr="00C06F42">
        <w:rPr>
          <w:rFonts w:ascii="Calibri" w:hAnsi="Calibri" w:cs="Calibri"/>
        </w:rPr>
        <w:sym w:font="Wingdings" w:char="F0E0"/>
      </w:r>
      <w:r w:rsidRPr="00C06F42">
        <w:rPr>
          <w:rFonts w:ascii="Calibri" w:hAnsi="Calibri" w:cs="Calibri"/>
        </w:rPr>
        <w:t xml:space="preserve"> ischemic injury </w:t>
      </w:r>
    </w:p>
    <w:p w14:paraId="4885639B" w14:textId="77777777" w:rsidR="00DB578B" w:rsidRPr="00C06F42" w:rsidRDefault="00074668" w:rsidP="00074668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C06F42">
        <w:rPr>
          <w:rFonts w:ascii="Calibri" w:eastAsia="Times New Roman" w:hAnsi="Calibri" w:cs="Calibri"/>
        </w:rPr>
        <w:t>The prevalence of DM or HAC in dogs with acutely presenting pancreatitis might be higher</w:t>
      </w:r>
    </w:p>
    <w:p w14:paraId="3A1D63DD" w14:textId="187D49C9" w:rsidR="00074668" w:rsidRPr="00C06F42" w:rsidRDefault="00074668" w:rsidP="00C06F42">
      <w:pPr>
        <w:pStyle w:val="ListParagraph"/>
        <w:numPr>
          <w:ilvl w:val="0"/>
          <w:numId w:val="1"/>
        </w:numPr>
        <w:rPr>
          <w:rFonts w:ascii="Calibri" w:eastAsia="Times New Roman" w:hAnsi="Calibri" w:cs="Calibri"/>
        </w:rPr>
      </w:pPr>
      <w:r w:rsidRPr="00C06F42">
        <w:rPr>
          <w:rFonts w:ascii="Calibri" w:eastAsia="Times New Roman" w:hAnsi="Calibri" w:cs="Calibri"/>
        </w:rPr>
        <w:t xml:space="preserve">HTG resulting from DM might be associated with acutely presenting pancreatitis. </w:t>
      </w:r>
    </w:p>
    <w:sectPr w:rsidR="00074668" w:rsidRPr="00C06F42" w:rsidSect="00B06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3006A"/>
    <w:multiLevelType w:val="hybridMultilevel"/>
    <w:tmpl w:val="68225D06"/>
    <w:lvl w:ilvl="0" w:tplc="2F927080">
      <w:start w:val="20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66BE7"/>
    <w:multiLevelType w:val="hybridMultilevel"/>
    <w:tmpl w:val="A6745BEC"/>
    <w:lvl w:ilvl="0" w:tplc="2F927080">
      <w:start w:val="20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521F1"/>
    <w:multiLevelType w:val="hybridMultilevel"/>
    <w:tmpl w:val="7AFC82F6"/>
    <w:lvl w:ilvl="0" w:tplc="6FC0A53C">
      <w:start w:val="20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16317"/>
    <w:multiLevelType w:val="hybridMultilevel"/>
    <w:tmpl w:val="86EA36BC"/>
    <w:lvl w:ilvl="0" w:tplc="6232B5EA">
      <w:start w:val="20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2C0"/>
    <w:rsid w:val="00074668"/>
    <w:rsid w:val="000F7C61"/>
    <w:rsid w:val="001E6200"/>
    <w:rsid w:val="0020374D"/>
    <w:rsid w:val="0024724D"/>
    <w:rsid w:val="002519F4"/>
    <w:rsid w:val="00254681"/>
    <w:rsid w:val="00277C4F"/>
    <w:rsid w:val="00282BD2"/>
    <w:rsid w:val="00286864"/>
    <w:rsid w:val="00332F53"/>
    <w:rsid w:val="00366F97"/>
    <w:rsid w:val="003932A0"/>
    <w:rsid w:val="003A5ED1"/>
    <w:rsid w:val="003C70FB"/>
    <w:rsid w:val="0057740D"/>
    <w:rsid w:val="00590E46"/>
    <w:rsid w:val="005B2F37"/>
    <w:rsid w:val="00610B1B"/>
    <w:rsid w:val="0063285E"/>
    <w:rsid w:val="006F3D93"/>
    <w:rsid w:val="00711A48"/>
    <w:rsid w:val="008212E1"/>
    <w:rsid w:val="00881D14"/>
    <w:rsid w:val="00885779"/>
    <w:rsid w:val="008B466C"/>
    <w:rsid w:val="008D24D9"/>
    <w:rsid w:val="008E0838"/>
    <w:rsid w:val="009F0933"/>
    <w:rsid w:val="00A302A3"/>
    <w:rsid w:val="00A56ABD"/>
    <w:rsid w:val="00A714EB"/>
    <w:rsid w:val="00B06133"/>
    <w:rsid w:val="00B11049"/>
    <w:rsid w:val="00B25292"/>
    <w:rsid w:val="00B862C0"/>
    <w:rsid w:val="00C02AAF"/>
    <w:rsid w:val="00C06F42"/>
    <w:rsid w:val="00C213B4"/>
    <w:rsid w:val="00C40E1F"/>
    <w:rsid w:val="00D41671"/>
    <w:rsid w:val="00DB578B"/>
    <w:rsid w:val="00E42691"/>
    <w:rsid w:val="00E613CF"/>
    <w:rsid w:val="00F858F8"/>
    <w:rsid w:val="00FD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62EAA2"/>
  <w15:chartTrackingRefBased/>
  <w15:docId w15:val="{A3F42D8E-9523-6F48-9510-F6B91AF4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2A0"/>
    <w:pPr>
      <w:ind w:left="720"/>
      <w:contextualSpacing/>
    </w:pPr>
  </w:style>
  <w:style w:type="character" w:customStyle="1" w:styleId="current-selection">
    <w:name w:val="current-selection"/>
    <w:basedOn w:val="DefaultParagraphFont"/>
    <w:rsid w:val="00885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8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Tong</dc:creator>
  <cp:keywords/>
  <dc:description/>
  <cp:lastModifiedBy>Carissa Tong</cp:lastModifiedBy>
  <cp:revision>39</cp:revision>
  <dcterms:created xsi:type="dcterms:W3CDTF">2019-03-22T15:39:00Z</dcterms:created>
  <dcterms:modified xsi:type="dcterms:W3CDTF">2019-03-22T23:12:00Z</dcterms:modified>
</cp:coreProperties>
</file>