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9EBCB" w14:textId="69716B62" w:rsidR="004A6D15" w:rsidRPr="004A6D15" w:rsidRDefault="004A6D15" w:rsidP="004A6D15">
      <w:r w:rsidRPr="004A6D15">
        <w:rPr>
          <w:b/>
        </w:rPr>
        <w:t xml:space="preserve">A Comparison of the Mortality Risk Associated </w:t>
      </w:r>
      <w:proofErr w:type="gramStart"/>
      <w:r w:rsidRPr="004A6D15">
        <w:rPr>
          <w:b/>
        </w:rPr>
        <w:t>With</w:t>
      </w:r>
      <w:proofErr w:type="gramEnd"/>
      <w:r w:rsidRPr="004A6D15">
        <w:rPr>
          <w:b/>
        </w:rPr>
        <w:t xml:space="preserve"> Ventilator-Acquired Bacterial Pneumonia and </w:t>
      </w:r>
      <w:proofErr w:type="spellStart"/>
      <w:r w:rsidRPr="004A6D15">
        <w:rPr>
          <w:b/>
        </w:rPr>
        <w:t>Nonventilator</w:t>
      </w:r>
      <w:proofErr w:type="spellEnd"/>
      <w:r w:rsidRPr="004A6D15">
        <w:rPr>
          <w:b/>
        </w:rPr>
        <w:t xml:space="preserve"> ICU-Acquired Bacterial Pneumonia </w:t>
      </w:r>
      <w:proofErr w:type="spellStart"/>
      <w:r w:rsidRPr="004A6D15">
        <w:t>Crit</w:t>
      </w:r>
      <w:proofErr w:type="spellEnd"/>
      <w:r w:rsidRPr="004A6D15">
        <w:t xml:space="preserve"> Care Med 2019; 47:345–352</w:t>
      </w:r>
    </w:p>
    <w:p w14:paraId="62297A6F" w14:textId="36809152" w:rsidR="004A6D15" w:rsidRPr="004A6D15" w:rsidRDefault="004A6D15" w:rsidP="004A6D15">
      <w:r w:rsidRPr="004A6D15">
        <w:rPr>
          <w:u w:val="single"/>
        </w:rPr>
        <w:t>Objectives:</w:t>
      </w:r>
      <w:r w:rsidRPr="004A6D15">
        <w:t xml:space="preserve"> To investigate the respective impact of ventilator-associated pneumonia and ICU–hospital-acquired pneumonia on the 30-day mortality of ICU patients.</w:t>
      </w:r>
      <w:r w:rsidRPr="004A6D15">
        <w:br/>
      </w:r>
      <w:r w:rsidRPr="004A6D15">
        <w:rPr>
          <w:u w:val="single"/>
        </w:rPr>
        <w:t>Design:</w:t>
      </w:r>
      <w:r w:rsidRPr="004A6D15">
        <w:t xml:space="preserve"> Longitudinal prospective studies. </w:t>
      </w:r>
    </w:p>
    <w:p w14:paraId="6C4AED1B" w14:textId="0F49F421" w:rsidR="004A6D15" w:rsidRPr="004A6D15" w:rsidRDefault="004A6D15" w:rsidP="004A6D15">
      <w:r w:rsidRPr="004A6D15">
        <w:rPr>
          <w:u w:val="single"/>
        </w:rPr>
        <w:t>Setting:</w:t>
      </w:r>
      <w:r w:rsidRPr="004A6D15">
        <w:t xml:space="preserve"> French ICUs.</w:t>
      </w:r>
      <w:bookmarkStart w:id="0" w:name="_GoBack"/>
      <w:bookmarkEnd w:id="0"/>
      <w:r w:rsidRPr="004A6D15">
        <w:br/>
      </w:r>
      <w:r w:rsidRPr="004A6D15">
        <w:rPr>
          <w:u w:val="single"/>
        </w:rPr>
        <w:t>Patients:</w:t>
      </w:r>
      <w:r w:rsidRPr="004A6D15">
        <w:t xml:space="preserve"> Patients at risk of ventilator-associated pneumonia and ICU–hospital-acquired pneumonia.</w:t>
      </w:r>
      <w:r w:rsidRPr="004A6D15">
        <w:br/>
      </w:r>
      <w:r w:rsidRPr="004A6D15">
        <w:rPr>
          <w:u w:val="single"/>
        </w:rPr>
        <w:t>Interventions:</w:t>
      </w:r>
      <w:r w:rsidRPr="004A6D15">
        <w:t xml:space="preserve"> The first three episodes of ventilator-associated pneumonia or ICU–hospital-acquired pneumonia </w:t>
      </w:r>
      <w:proofErr w:type="gramStart"/>
      <w:r w:rsidRPr="004A6D15">
        <w:t>were</w:t>
      </w:r>
      <w:proofErr w:type="gramEnd"/>
      <w:r w:rsidRPr="004A6D15">
        <w:t xml:space="preserve"> handled as time-dependent covariates in Cox models. We adjusted using the case-mix, illness severity, Simplified Acute Physiology Score II score at admission, and procedures and therapeutics used during the first 48 hours before the risk period. Baseline characteristics of patients with regard to the adequacy of antibiotic treatment were analyzed, as well as the Sequential Organ Failure Assessment score variation in the 2 days before the occurrence of ventilator-associated pneumonia or ICU–hospital-acquired pneumonia. Mortality was also analyzed for Enterococcus faecium, Staphylococcus aureus, </w:t>
      </w:r>
      <w:proofErr w:type="spellStart"/>
      <w:r w:rsidRPr="004A6D15">
        <w:t>Klebsiella</w:t>
      </w:r>
      <w:proofErr w:type="spellEnd"/>
      <w:r w:rsidRPr="004A6D15">
        <w:t xml:space="preserve"> pneumoniae, Acinetobacter </w:t>
      </w:r>
      <w:proofErr w:type="spellStart"/>
      <w:r w:rsidRPr="004A6D15">
        <w:t>baumannii</w:t>
      </w:r>
      <w:proofErr w:type="spellEnd"/>
      <w:r w:rsidRPr="004A6D15">
        <w:t xml:space="preserve">, Pseudomonas aeruginosa, and Enterobacter species (ESKAPE) and P. aeruginosa pathogens. </w:t>
      </w:r>
    </w:p>
    <w:p w14:paraId="56DBA14C" w14:textId="77777777" w:rsidR="004A6D15" w:rsidRDefault="004A6D15" w:rsidP="004A6D15">
      <w:r w:rsidRPr="004A6D15">
        <w:rPr>
          <w:u w:val="single"/>
        </w:rPr>
        <w:t>Measurements and Main Results:</w:t>
      </w:r>
      <w:r w:rsidRPr="004A6D15">
        <w:t xml:space="preserve"> Of 14,212 patients who were admitted to the ICUs and who stayed for more than 48 hours, 7,735 were at risk of ventilator-associated pneumonia and 9,747 were at risk of ICU–hospital-acquired pneumonia. Ventilator- associated pneumonia and ICU–hospital-acquired pneumonia occurred in 1,161 at-risk patients (15%) and 176 at-risk patients (2%), respectively. When adjusted on prognostic variables, ventilator-associated pneumonia (hazard ratio, 1.38 (1.24–1.52); p &lt; 0.0001) and even more ICU–hospital-acquired pneumonia (hazard ratio, 1.82 [1.35–2.45]; p &lt; 0.0001) were associated with increased 30-day mortality. The early antibiotic therapy adequacy was not associated with an improved prognosis, particularly for ICU–hospital-acquired pneumonia. The impact was similar for ventilator-associated pneumonia and ICU–hospital-acquired pneumonia mortality due to P. aeruginosa and the ESKAPE group. </w:t>
      </w:r>
    </w:p>
    <w:p w14:paraId="12CCBF2E" w14:textId="066A9B5F" w:rsidR="004A6D15" w:rsidRPr="004A6D15" w:rsidRDefault="004A6D15" w:rsidP="004A6D15">
      <w:r w:rsidRPr="004A6D15">
        <w:rPr>
          <w:u w:val="single"/>
        </w:rPr>
        <w:t>Conclusions:</w:t>
      </w:r>
      <w:r w:rsidRPr="004A6D15">
        <w:t xml:space="preserve"> In a large cohort of patients, we found that both ICU–hospital-acquired pneumonia and ventilator-associated pneumonia were associated with an 82% and a 38% increase in the risk of 30-day mortality, respectively. This study emphasized the importance of preventing ICU–hospital-acquired pneumonia in nonventilated patients. </w:t>
      </w:r>
    </w:p>
    <w:p w14:paraId="5EFC7585" w14:textId="4F20531C" w:rsidR="004A6D15" w:rsidRDefault="004A6D15" w:rsidP="004A6D15"/>
    <w:p w14:paraId="26214A8A" w14:textId="66356327" w:rsidR="001E55C1" w:rsidRDefault="001E55C1" w:rsidP="004A6D15"/>
    <w:p w14:paraId="2929B2E6" w14:textId="3FC0F254" w:rsidR="001E55C1" w:rsidRDefault="001E55C1" w:rsidP="004A6D15"/>
    <w:p w14:paraId="681D5302" w14:textId="77777777" w:rsidR="001E55C1" w:rsidRPr="004A6D15" w:rsidRDefault="001E55C1" w:rsidP="004A6D15"/>
    <w:p w14:paraId="01053D1B" w14:textId="4C87AE2D" w:rsidR="004A6D15" w:rsidRPr="004A6D15" w:rsidRDefault="004A6D15" w:rsidP="004A6D15">
      <w:pPr>
        <w:rPr>
          <w:b/>
        </w:rPr>
      </w:pPr>
      <w:r w:rsidRPr="004A6D15">
        <w:rPr>
          <w:b/>
        </w:rPr>
        <w:t xml:space="preserve">Hemodynamic-Directed Cardiopulmonary Resuscitation Improves Neurologic Outcomes and Mitochondrial Function in the Heart and Brain </w:t>
      </w:r>
      <w:proofErr w:type="spellStart"/>
      <w:r w:rsidR="001D6F1E" w:rsidRPr="004A6D15">
        <w:t>Crit</w:t>
      </w:r>
      <w:proofErr w:type="spellEnd"/>
      <w:r w:rsidR="001D6F1E" w:rsidRPr="004A6D15">
        <w:t xml:space="preserve"> Care Med 2019; </w:t>
      </w:r>
      <w:proofErr w:type="gramStart"/>
      <w:r w:rsidR="001D6F1E" w:rsidRPr="004A6D15">
        <w:t>47:e</w:t>
      </w:r>
      <w:proofErr w:type="gramEnd"/>
      <w:r w:rsidR="001D6F1E" w:rsidRPr="004A6D15">
        <w:t>241–e249</w:t>
      </w:r>
    </w:p>
    <w:p w14:paraId="34083ACC" w14:textId="258D685A" w:rsidR="004A6D15" w:rsidRPr="004A6D15" w:rsidRDefault="004A6D15" w:rsidP="004A6D15">
      <w:r w:rsidRPr="004A6D15">
        <w:rPr>
          <w:u w:val="single"/>
        </w:rPr>
        <w:t>Objectives:</w:t>
      </w:r>
      <w:r w:rsidRPr="004A6D15">
        <w:t xml:space="preserve"> Less than half of the thousands of children who suffer in-hospital cardiac arrests annually survive, and neurologic injury is common among survivors. Hemodynamic-directed cardiopulmonary resuscitation improves short-term survival, but its impact on longer term survival and mitochondrial respiration—a potential neurotherapeutic target—remains unknown. The primary objectives of this study were to compare rates of 24-hour survival with </w:t>
      </w:r>
      <w:r w:rsidRPr="004A6D15">
        <w:lastRenderedPageBreak/>
        <w:t xml:space="preserve">favorable neurologic outcome after cardiac arrest treated with hemodynamic-directed cardiopulmonary resuscitation versus standard depth-guided cardiopulmonary resuscitation and to compare brain and heart mitochondrial respiration between groups 24 hours after resuscitation. </w:t>
      </w:r>
    </w:p>
    <w:p w14:paraId="5D91FFD0" w14:textId="77777777" w:rsidR="004A6D15" w:rsidRDefault="004A6D15" w:rsidP="004A6D15">
      <w:r w:rsidRPr="004A6D15">
        <w:rPr>
          <w:u w:val="single"/>
        </w:rPr>
        <w:t>Design:</w:t>
      </w:r>
      <w:r w:rsidRPr="004A6D15">
        <w:t xml:space="preserve"> Randomized preclinical large animal trial.</w:t>
      </w:r>
      <w:r w:rsidRPr="004A6D15">
        <w:br/>
      </w:r>
      <w:r w:rsidRPr="004A6D15">
        <w:rPr>
          <w:u w:val="single"/>
        </w:rPr>
        <w:t>Setting:</w:t>
      </w:r>
      <w:r w:rsidRPr="004A6D15">
        <w:t xml:space="preserve"> A large animal resuscitation laboratory at a large academic children’s hospital.</w:t>
      </w:r>
      <w:r w:rsidRPr="004A6D15">
        <w:br/>
      </w:r>
      <w:r w:rsidRPr="004A6D15">
        <w:rPr>
          <w:u w:val="single"/>
        </w:rPr>
        <w:t>Subjects:</w:t>
      </w:r>
      <w:r w:rsidRPr="004A6D15">
        <w:t xml:space="preserve"> Twenty-eight 4-week-old female piglets (8–11kg). </w:t>
      </w:r>
    </w:p>
    <w:p w14:paraId="23B6D53B" w14:textId="77777777" w:rsidR="001D6F1E" w:rsidRDefault="004A6D15" w:rsidP="004A6D15">
      <w:r w:rsidRPr="004A6D15">
        <w:rPr>
          <w:u w:val="single"/>
        </w:rPr>
        <w:t>Interventions:</w:t>
      </w:r>
      <w:r w:rsidRPr="004A6D15">
        <w:t xml:space="preserve"> Twenty-two swine underwent 7 minutes of asphyxia followed by ventricular fibrillation and randomized treatment with either hemodynamic-directed cardiopulmonary resuscitation (n = 10; compression depth titrated to aortic systolic pressure of 90 mm Hg, vasopressors titrated to coronary perfusion pressure ≥ 20mm Hg) or depth-guided cardiopulmonary resuscitation (n = 12; depth 1/3 chest diameter, epinephrine every 4 min). Six animals (sham group) underwent anesthesia and instrumentation without cardiac arrest. The primary outcomes were favorable neurologic outcome (swine Cerebral Performance Category ≤ 2) and mitochondrial maximal oxidative phosphorylation utilizing substrate for complex I and complex II (OXPHOSCI+CII) in the cerebral cortex and hippocampus. </w:t>
      </w:r>
    </w:p>
    <w:p w14:paraId="7306F1B6" w14:textId="3545BAE9" w:rsidR="004A6D15" w:rsidRPr="004A6D15" w:rsidRDefault="004A6D15" w:rsidP="004A6D15">
      <w:r w:rsidRPr="001D6F1E">
        <w:rPr>
          <w:u w:val="single"/>
        </w:rPr>
        <w:t>Measurements and Main Results:</w:t>
      </w:r>
      <w:r w:rsidRPr="004A6D15">
        <w:t xml:space="preserve"> Favorable neurologic outcome was more likely with hemodynamic-directed cardiopulmonary resuscitation (7/10) than depth-guided cardiopulmonary resuscitation (1/12; p = 0.006). Hemodynamic-directed cardiopulmonary resuscitation resulted in higher intra-arrest coronary perfusion pressure, aortic pressures, and brain tissue oxygenation. Hemodynamic-directed cardiopulmonary resuscitation resulted in higher OXPHOSCI+CII (</w:t>
      </w:r>
      <w:proofErr w:type="spellStart"/>
      <w:r w:rsidRPr="004A6D15">
        <w:t>pmol</w:t>
      </w:r>
      <w:proofErr w:type="spellEnd"/>
      <w:r w:rsidRPr="004A6D15">
        <w:t xml:space="preserve"> oxygen/s × mg/citrate synthase) in the cortex (6.00±0.28 vs 3.88±0.43; p &lt; 0.05) and hippocampus (6.26±0.67 vs 3.55±0.65; p &lt; 0.05) and higher complex I respiration (</w:t>
      </w:r>
      <w:proofErr w:type="spellStart"/>
      <w:r w:rsidRPr="004A6D15">
        <w:t>pmol</w:t>
      </w:r>
      <w:proofErr w:type="spellEnd"/>
      <w:r w:rsidRPr="004A6D15">
        <w:t xml:space="preserve"> oxygen/s × mg) in the right (20.62±1.06 vs 15.88±0.81; p &lt; 0.05) and left ventricles (20.14±1.40 vs 14.17 ± 1.53; p &lt; 0.05).</w:t>
      </w:r>
      <w:r w:rsidRPr="004A6D15">
        <w:br/>
      </w:r>
      <w:r w:rsidRPr="001D6F1E">
        <w:rPr>
          <w:u w:val="single"/>
        </w:rPr>
        <w:t>Conclusions:</w:t>
      </w:r>
      <w:r w:rsidRPr="004A6D15">
        <w:t xml:space="preserve"> In a model of asphyxia-associated pediatric cardiac arrest, hemodynamic-directed cardiopulmonary resuscitation increases rates of 24-hour survival with favorable neurologic outcome, intra-arrest hemodynamics, and cerebral and myocardial mitochondrial respiration. </w:t>
      </w:r>
    </w:p>
    <w:p w14:paraId="3308BC54" w14:textId="48067367" w:rsidR="004A6D15" w:rsidRDefault="004A6D15" w:rsidP="004A6D15"/>
    <w:p w14:paraId="3A86240A" w14:textId="47216382" w:rsidR="001E55C1" w:rsidRDefault="001E55C1" w:rsidP="004A6D15"/>
    <w:p w14:paraId="66F33DD4" w14:textId="1C97D26C" w:rsidR="001E55C1" w:rsidRDefault="001E55C1" w:rsidP="004A6D15"/>
    <w:p w14:paraId="07703C00" w14:textId="77777777" w:rsidR="001E55C1" w:rsidRPr="004A6D15" w:rsidRDefault="001E55C1" w:rsidP="004A6D15"/>
    <w:p w14:paraId="2F6FE586" w14:textId="1554E4CB" w:rsidR="004A6D15" w:rsidRPr="001D6F1E" w:rsidRDefault="004A6D15" w:rsidP="004A6D15">
      <w:r w:rsidRPr="001D6F1E">
        <w:rPr>
          <w:b/>
        </w:rPr>
        <w:t xml:space="preserve">Evolution and Impact of Thrombocytopenia in Septic Shock: A Retrospective Cohort Study </w:t>
      </w:r>
      <w:proofErr w:type="spellStart"/>
      <w:r w:rsidR="001D6F1E" w:rsidRPr="004A6D15">
        <w:t>Crit</w:t>
      </w:r>
      <w:proofErr w:type="spellEnd"/>
      <w:r w:rsidR="001D6F1E" w:rsidRPr="004A6D15">
        <w:t xml:space="preserve"> Care Med 2019; 47:558–565</w:t>
      </w:r>
    </w:p>
    <w:p w14:paraId="0337FD36" w14:textId="6CC8A43B" w:rsidR="004A6D15" w:rsidRPr="001D6F1E" w:rsidRDefault="004A6D15" w:rsidP="004A6D15">
      <w:r w:rsidRPr="001D6F1E">
        <w:rPr>
          <w:u w:val="single"/>
        </w:rPr>
        <w:t>Objectives:</w:t>
      </w:r>
      <w:r w:rsidRPr="001D6F1E">
        <w:t xml:space="preserve"> To characterize the prevalence, incidence, and temporal evolution of thrombocytopenia (platelets &lt; 100×10</w:t>
      </w:r>
      <w:r w:rsidRPr="001D6F1E">
        <w:rPr>
          <w:vertAlign w:val="superscript"/>
        </w:rPr>
        <w:t>9</w:t>
      </w:r>
      <w:r w:rsidRPr="001D6F1E">
        <w:t xml:space="preserve">/L) in septic shock and to investigate the independent association of thrombocytopenia on clinical outcomes. </w:t>
      </w:r>
    </w:p>
    <w:p w14:paraId="1228D12E" w14:textId="77777777" w:rsidR="001D6F1E" w:rsidRDefault="004A6D15" w:rsidP="004A6D15">
      <w:r w:rsidRPr="001D6F1E">
        <w:rPr>
          <w:u w:val="single"/>
        </w:rPr>
        <w:t>Design:</w:t>
      </w:r>
      <w:r w:rsidRPr="001D6F1E">
        <w:t xml:space="preserve"> Retrospective, propensity-matched, cohort study. </w:t>
      </w:r>
    </w:p>
    <w:p w14:paraId="15F9C494" w14:textId="68514DF6" w:rsidR="004A6D15" w:rsidRPr="001D6F1E" w:rsidRDefault="004A6D15" w:rsidP="004A6D15">
      <w:r w:rsidRPr="001D6F1E">
        <w:rPr>
          <w:u w:val="single"/>
        </w:rPr>
        <w:t>Setting:</w:t>
      </w:r>
      <w:r w:rsidRPr="001D6F1E">
        <w:t xml:space="preserve"> Two academic ICUs in Winnipeg, Canada. </w:t>
      </w:r>
    </w:p>
    <w:p w14:paraId="6B2BE2A8" w14:textId="77777777" w:rsidR="001D6F1E" w:rsidRDefault="004A6D15" w:rsidP="004A6D15">
      <w:r w:rsidRPr="001D6F1E">
        <w:rPr>
          <w:u w:val="single"/>
        </w:rPr>
        <w:t>Patients:</w:t>
      </w:r>
      <w:r w:rsidRPr="004A6D15">
        <w:t xml:space="preserve"> Nine-hundred eighty adult patients diagnosed with septic shock between 2007 and 2012.</w:t>
      </w:r>
      <w:r w:rsidRPr="004A6D15">
        <w:br/>
      </w:r>
      <w:r w:rsidRPr="001D6F1E">
        <w:rPr>
          <w:u w:val="single"/>
        </w:rPr>
        <w:t>Interventions:</w:t>
      </w:r>
      <w:r w:rsidRPr="004A6D15">
        <w:t xml:space="preserve"> Propensity-matched cohort analysis and Cox proportional hazard model evaluating thrombocytopenia over time. </w:t>
      </w:r>
    </w:p>
    <w:p w14:paraId="4ADCA6F5" w14:textId="77777777" w:rsidR="001D6F1E" w:rsidRDefault="004A6D15" w:rsidP="004A6D15">
      <w:r w:rsidRPr="001D6F1E">
        <w:rPr>
          <w:u w:val="single"/>
        </w:rPr>
        <w:lastRenderedPageBreak/>
        <w:t>Measurements and Main Results:</w:t>
      </w:r>
      <w:r w:rsidRPr="004A6D15">
        <w:t xml:space="preserve"> Of 980 adults, 165 patients (16.8%) had thrombocytopenia at ICU admission (prevalent), whereas 271 (27.7%) developed thrombocytopenia during ICU admission (incident). Among patients with incident thrombocytopenia, the median time from ICU admission to thrombocytopenia was 2 days (interquartile range, 1–3 d). Among survivors, the median time from incident thrombocytopenia to platelet recovery was 6 days (interquartile range, 4–8 d). The median time from liberation of vasopressors to recovery of platelets concentration (≥ 100×109/L) was 2 days (interquartile range, 0–4 d). In a propensity-matched analysis, thrombocytopenia was associated with increased durations of ICU length of stay (9 vs 6 d; p &lt; 0.01), mechanical ventilation (7 vs 4 d; p &lt; 0.01), and vasopressor use (4 vs 3 d; p &lt; 0.01), as well as increased major bleeding events (41% vs 18%; p &lt; 0.01). In an adjusted Cox proportional hazards model, thrombocytopenia was significantly associated with both increased ICU mortality (hazard ratio, 1.99; 95% CI, 1.51–2.63) and hospital mortality (hazard ratio, 1.93; 95% CI, 1.48–2.51). </w:t>
      </w:r>
    </w:p>
    <w:p w14:paraId="09C15273" w14:textId="0DA3400B" w:rsidR="004A6D15" w:rsidRPr="004A6D15" w:rsidRDefault="004A6D15" w:rsidP="004A6D15">
      <w:r w:rsidRPr="001D6F1E">
        <w:rPr>
          <w:u w:val="single"/>
        </w:rPr>
        <w:t>Conclusions:</w:t>
      </w:r>
      <w:r w:rsidRPr="004A6D15">
        <w:t xml:space="preserve"> Both the prevalence and incidence of thrombocytopenia are high in septic shock. Incident thrombocytopenia occurs early in septic shock, and platelet recovery lags behind clinical recovery. In septic shock, thrombocytopenia is associated with increased length of stay, longer duration of organ support, major bleeding events, and mortality. </w:t>
      </w:r>
    </w:p>
    <w:p w14:paraId="02B6BFB3" w14:textId="77BA7967" w:rsidR="004A6D15" w:rsidRDefault="004A6D15" w:rsidP="004A6D15"/>
    <w:p w14:paraId="47D06778" w14:textId="211E3499" w:rsidR="001E55C1" w:rsidRDefault="001E55C1" w:rsidP="004A6D15"/>
    <w:p w14:paraId="1ED4886F" w14:textId="77777777" w:rsidR="001E55C1" w:rsidRPr="004A6D15" w:rsidRDefault="001E55C1" w:rsidP="004A6D15"/>
    <w:p w14:paraId="7A1E802B" w14:textId="7F27D918" w:rsidR="004A6D15" w:rsidRPr="004A6D15" w:rsidRDefault="004A6D15" w:rsidP="004A6D15"/>
    <w:p w14:paraId="2BEC4DB4" w14:textId="7675E61F" w:rsidR="004A6D15" w:rsidRPr="001D6F1E" w:rsidRDefault="004A6D15" w:rsidP="004A6D15">
      <w:pPr>
        <w:rPr>
          <w:b/>
        </w:rPr>
      </w:pPr>
      <w:r w:rsidRPr="001D6F1E">
        <w:rPr>
          <w:b/>
        </w:rPr>
        <w:t xml:space="preserve">Incidence, Risk Factors, and Outcomes of Intra- Abdominal Hypertension in Critically Ill Patients— A Prospective Multicenter Study (IROI Study) </w:t>
      </w:r>
      <w:proofErr w:type="spellStart"/>
      <w:r w:rsidR="001E55C1" w:rsidRPr="004A6D15">
        <w:t>Crit</w:t>
      </w:r>
      <w:proofErr w:type="spellEnd"/>
      <w:r w:rsidR="001E55C1" w:rsidRPr="004A6D15">
        <w:t xml:space="preserve"> Care Med 2019; 47:535–542</w:t>
      </w:r>
    </w:p>
    <w:p w14:paraId="6523036B" w14:textId="6220D632" w:rsidR="004A6D15" w:rsidRPr="004A6D15" w:rsidRDefault="004A6D15" w:rsidP="004A6D15">
      <w:r w:rsidRPr="001D6F1E">
        <w:rPr>
          <w:u w:val="single"/>
        </w:rPr>
        <w:t xml:space="preserve">Objectives: </w:t>
      </w:r>
      <w:r w:rsidRPr="004A6D15">
        <w:t>To identify the prevalence, risk factors, and outcomes of intra-abdominal hypertension in a mixed multicenter ICU population.</w:t>
      </w:r>
      <w:r w:rsidRPr="004A6D15">
        <w:br/>
      </w:r>
      <w:r w:rsidRPr="001D6F1E">
        <w:rPr>
          <w:u w:val="single"/>
        </w:rPr>
        <w:t>Design:</w:t>
      </w:r>
      <w:r w:rsidRPr="004A6D15">
        <w:t xml:space="preserve"> Prospective observational study. </w:t>
      </w:r>
    </w:p>
    <w:p w14:paraId="6CE4B7E6" w14:textId="77777777" w:rsidR="001D6F1E" w:rsidRDefault="004A6D15" w:rsidP="004A6D15">
      <w:r w:rsidRPr="001D6F1E">
        <w:rPr>
          <w:u w:val="single"/>
        </w:rPr>
        <w:t>Setting:</w:t>
      </w:r>
      <w:r w:rsidRPr="004A6D15">
        <w:t xml:space="preserve"> Fifteen ICUs worldwide.</w:t>
      </w:r>
      <w:r w:rsidRPr="004A6D15">
        <w:br/>
      </w:r>
      <w:r w:rsidRPr="001D6F1E">
        <w:rPr>
          <w:u w:val="single"/>
        </w:rPr>
        <w:t>Patients:</w:t>
      </w:r>
      <w:r w:rsidRPr="004A6D15">
        <w:t xml:space="preserve"> Consecutive adult ICU patients with a bladder catheter. </w:t>
      </w:r>
    </w:p>
    <w:p w14:paraId="22AEA2AA" w14:textId="240A2BF9" w:rsidR="001D6F1E" w:rsidRDefault="004A6D15" w:rsidP="004A6D15">
      <w:r w:rsidRPr="001D6F1E">
        <w:rPr>
          <w:u w:val="single"/>
        </w:rPr>
        <w:t>Interventions:</w:t>
      </w:r>
      <w:r w:rsidRPr="004A6D15">
        <w:t xml:space="preserve"> None.</w:t>
      </w:r>
      <w:r w:rsidRPr="004A6D15">
        <w:br/>
      </w:r>
      <w:r w:rsidRPr="001D6F1E">
        <w:rPr>
          <w:u w:val="single"/>
        </w:rPr>
        <w:t>Measurements and Main Results:</w:t>
      </w:r>
      <w:r w:rsidRPr="004A6D15">
        <w:t xml:space="preserve"> Four hundred ninety-one patients were included. Intra-abdominal pressure was measured a minimum of every 8 hours. Subjects with a mean intra-abdominal pressure equal to or greater than 12 mm Hg were defined as having intra-abdominal hypertension. Intra-abdominal hypertension was present in 34.0% of the patients on the day of ICU admission (159/467) and in 48.9% of the patients (240/491) during the observation period. The severity of intra-abdominal hypertension was as follows: grade I, 47.5%; grade II, 36.6%; grade III, 11.7%; and grade IV, 4.2%. The severity of intra-abdominal hypertension during the first 2 weeks of the ICU stay was identified as an independent predictor of 28- and 90-day mortality, whereas the presence of intra-abdominal hypertension on the day of ICU admission did not predict mortality. Body mass index, Acute Physiology and Chronic Health Evaluation II score greater than or equal to 18, presence of abdominal distension, absence of bowel sounds, and positive end-expiratory pressure greater than or equal to 7cm H2O were independently associated with the development of intra-abdominal hypertension at any time during the observation period. In subjects without intra-abdominal hypertension on day 1, body mass index combined with daily positive fluid balance and positive end-expiratory pressure greater </w:t>
      </w:r>
      <w:r w:rsidRPr="004A6D15">
        <w:lastRenderedPageBreak/>
        <w:t xml:space="preserve">than or equal to 7 cm H2O (as documented on the day before intra-abdominal hypertension occurred) were associated with the development of intra- abdominal hypertension during the first week in the ICU. </w:t>
      </w:r>
    </w:p>
    <w:p w14:paraId="5256AE65" w14:textId="574985D7" w:rsidR="004A6D15" w:rsidRPr="004A6D15" w:rsidRDefault="004A6D15" w:rsidP="004A6D15">
      <w:r w:rsidRPr="001D6F1E">
        <w:rPr>
          <w:u w:val="single"/>
        </w:rPr>
        <w:t>Conclusions:</w:t>
      </w:r>
      <w:r w:rsidRPr="004A6D15">
        <w:t xml:space="preserve"> In our mixed ICU patient cohort, intra-abdominal hypertension occurred in almost half of all subjects and was twice as prevalent in mechanically ventilated patients as in spontaneously breathing patients. Presence and severity of intra-abdominal hypertension during the observation period significantly and independently increased 28- and 90-day mortality. Five admission day variables were independently associated with the presence or development of intra-abdominal hypertension. Positive fluid balance was associated with the development of intra-abdominal hypertension after day 1. </w:t>
      </w:r>
    </w:p>
    <w:p w14:paraId="36C06814" w14:textId="77777777" w:rsidR="004A6D15" w:rsidRPr="004A6D15" w:rsidRDefault="004A6D15" w:rsidP="004A6D15"/>
    <w:p w14:paraId="170A80C6" w14:textId="77777777" w:rsidR="004A6D15" w:rsidRPr="004A6D15" w:rsidRDefault="004A6D15" w:rsidP="004A6D15"/>
    <w:sectPr w:rsidR="004A6D15" w:rsidRPr="004A6D15" w:rsidSect="005E3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15"/>
    <w:rsid w:val="00086185"/>
    <w:rsid w:val="001D6F1E"/>
    <w:rsid w:val="001E55C1"/>
    <w:rsid w:val="002155BB"/>
    <w:rsid w:val="004A6D15"/>
    <w:rsid w:val="005E3A95"/>
    <w:rsid w:val="0089325D"/>
    <w:rsid w:val="009F734E"/>
    <w:rsid w:val="00A12A32"/>
    <w:rsid w:val="00D610D9"/>
    <w:rsid w:val="00F4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F1B9"/>
  <w14:defaultImageDpi w14:val="32767"/>
  <w15:chartTrackingRefBased/>
  <w15:docId w15:val="{14120CFB-7092-FE41-9CD9-A6DFFD24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D1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015934">
      <w:bodyDiv w:val="1"/>
      <w:marLeft w:val="0"/>
      <w:marRight w:val="0"/>
      <w:marTop w:val="0"/>
      <w:marBottom w:val="0"/>
      <w:divBdr>
        <w:top w:val="none" w:sz="0" w:space="0" w:color="auto"/>
        <w:left w:val="none" w:sz="0" w:space="0" w:color="auto"/>
        <w:bottom w:val="none" w:sz="0" w:space="0" w:color="auto"/>
        <w:right w:val="none" w:sz="0" w:space="0" w:color="auto"/>
      </w:divBdr>
      <w:divsChild>
        <w:div w:id="401761180">
          <w:marLeft w:val="0"/>
          <w:marRight w:val="0"/>
          <w:marTop w:val="0"/>
          <w:marBottom w:val="0"/>
          <w:divBdr>
            <w:top w:val="none" w:sz="0" w:space="0" w:color="auto"/>
            <w:left w:val="none" w:sz="0" w:space="0" w:color="auto"/>
            <w:bottom w:val="none" w:sz="0" w:space="0" w:color="auto"/>
            <w:right w:val="none" w:sz="0" w:space="0" w:color="auto"/>
          </w:divBdr>
          <w:divsChild>
            <w:div w:id="2014990749">
              <w:marLeft w:val="0"/>
              <w:marRight w:val="0"/>
              <w:marTop w:val="0"/>
              <w:marBottom w:val="0"/>
              <w:divBdr>
                <w:top w:val="none" w:sz="0" w:space="0" w:color="auto"/>
                <w:left w:val="none" w:sz="0" w:space="0" w:color="auto"/>
                <w:bottom w:val="none" w:sz="0" w:space="0" w:color="auto"/>
                <w:right w:val="none" w:sz="0" w:space="0" w:color="auto"/>
              </w:divBdr>
              <w:divsChild>
                <w:div w:id="14151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1778">
      <w:bodyDiv w:val="1"/>
      <w:marLeft w:val="0"/>
      <w:marRight w:val="0"/>
      <w:marTop w:val="0"/>
      <w:marBottom w:val="0"/>
      <w:divBdr>
        <w:top w:val="none" w:sz="0" w:space="0" w:color="auto"/>
        <w:left w:val="none" w:sz="0" w:space="0" w:color="auto"/>
        <w:bottom w:val="none" w:sz="0" w:space="0" w:color="auto"/>
        <w:right w:val="none" w:sz="0" w:space="0" w:color="auto"/>
      </w:divBdr>
      <w:divsChild>
        <w:div w:id="848720644">
          <w:marLeft w:val="0"/>
          <w:marRight w:val="0"/>
          <w:marTop w:val="0"/>
          <w:marBottom w:val="0"/>
          <w:divBdr>
            <w:top w:val="none" w:sz="0" w:space="0" w:color="auto"/>
            <w:left w:val="none" w:sz="0" w:space="0" w:color="auto"/>
            <w:bottom w:val="none" w:sz="0" w:space="0" w:color="auto"/>
            <w:right w:val="none" w:sz="0" w:space="0" w:color="auto"/>
          </w:divBdr>
          <w:divsChild>
            <w:div w:id="831455587">
              <w:marLeft w:val="0"/>
              <w:marRight w:val="0"/>
              <w:marTop w:val="0"/>
              <w:marBottom w:val="0"/>
              <w:divBdr>
                <w:top w:val="none" w:sz="0" w:space="0" w:color="auto"/>
                <w:left w:val="none" w:sz="0" w:space="0" w:color="auto"/>
                <w:bottom w:val="none" w:sz="0" w:space="0" w:color="auto"/>
                <w:right w:val="none" w:sz="0" w:space="0" w:color="auto"/>
              </w:divBdr>
              <w:divsChild>
                <w:div w:id="2073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9843">
      <w:bodyDiv w:val="1"/>
      <w:marLeft w:val="0"/>
      <w:marRight w:val="0"/>
      <w:marTop w:val="0"/>
      <w:marBottom w:val="0"/>
      <w:divBdr>
        <w:top w:val="none" w:sz="0" w:space="0" w:color="auto"/>
        <w:left w:val="none" w:sz="0" w:space="0" w:color="auto"/>
        <w:bottom w:val="none" w:sz="0" w:space="0" w:color="auto"/>
        <w:right w:val="none" w:sz="0" w:space="0" w:color="auto"/>
      </w:divBdr>
      <w:divsChild>
        <w:div w:id="1599094802">
          <w:marLeft w:val="0"/>
          <w:marRight w:val="0"/>
          <w:marTop w:val="0"/>
          <w:marBottom w:val="0"/>
          <w:divBdr>
            <w:top w:val="none" w:sz="0" w:space="0" w:color="auto"/>
            <w:left w:val="none" w:sz="0" w:space="0" w:color="auto"/>
            <w:bottom w:val="none" w:sz="0" w:space="0" w:color="auto"/>
            <w:right w:val="none" w:sz="0" w:space="0" w:color="auto"/>
          </w:divBdr>
          <w:divsChild>
            <w:div w:id="1710448159">
              <w:marLeft w:val="0"/>
              <w:marRight w:val="0"/>
              <w:marTop w:val="0"/>
              <w:marBottom w:val="0"/>
              <w:divBdr>
                <w:top w:val="none" w:sz="0" w:space="0" w:color="auto"/>
                <w:left w:val="none" w:sz="0" w:space="0" w:color="auto"/>
                <w:bottom w:val="none" w:sz="0" w:space="0" w:color="auto"/>
                <w:right w:val="none" w:sz="0" w:space="0" w:color="auto"/>
              </w:divBdr>
              <w:divsChild>
                <w:div w:id="10720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5192">
      <w:bodyDiv w:val="1"/>
      <w:marLeft w:val="0"/>
      <w:marRight w:val="0"/>
      <w:marTop w:val="0"/>
      <w:marBottom w:val="0"/>
      <w:divBdr>
        <w:top w:val="none" w:sz="0" w:space="0" w:color="auto"/>
        <w:left w:val="none" w:sz="0" w:space="0" w:color="auto"/>
        <w:bottom w:val="none" w:sz="0" w:space="0" w:color="auto"/>
        <w:right w:val="none" w:sz="0" w:space="0" w:color="auto"/>
      </w:divBdr>
      <w:divsChild>
        <w:div w:id="730150393">
          <w:marLeft w:val="0"/>
          <w:marRight w:val="0"/>
          <w:marTop w:val="0"/>
          <w:marBottom w:val="0"/>
          <w:divBdr>
            <w:top w:val="none" w:sz="0" w:space="0" w:color="auto"/>
            <w:left w:val="none" w:sz="0" w:space="0" w:color="auto"/>
            <w:bottom w:val="none" w:sz="0" w:space="0" w:color="auto"/>
            <w:right w:val="none" w:sz="0" w:space="0" w:color="auto"/>
          </w:divBdr>
          <w:divsChild>
            <w:div w:id="2064477583">
              <w:marLeft w:val="0"/>
              <w:marRight w:val="0"/>
              <w:marTop w:val="0"/>
              <w:marBottom w:val="0"/>
              <w:divBdr>
                <w:top w:val="none" w:sz="0" w:space="0" w:color="auto"/>
                <w:left w:val="none" w:sz="0" w:space="0" w:color="auto"/>
                <w:bottom w:val="none" w:sz="0" w:space="0" w:color="auto"/>
                <w:right w:val="none" w:sz="0" w:space="0" w:color="auto"/>
              </w:divBdr>
              <w:divsChild>
                <w:div w:id="11162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76183">
      <w:bodyDiv w:val="1"/>
      <w:marLeft w:val="0"/>
      <w:marRight w:val="0"/>
      <w:marTop w:val="0"/>
      <w:marBottom w:val="0"/>
      <w:divBdr>
        <w:top w:val="none" w:sz="0" w:space="0" w:color="auto"/>
        <w:left w:val="none" w:sz="0" w:space="0" w:color="auto"/>
        <w:bottom w:val="none" w:sz="0" w:space="0" w:color="auto"/>
        <w:right w:val="none" w:sz="0" w:space="0" w:color="auto"/>
      </w:divBdr>
      <w:divsChild>
        <w:div w:id="1642689732">
          <w:marLeft w:val="0"/>
          <w:marRight w:val="0"/>
          <w:marTop w:val="0"/>
          <w:marBottom w:val="0"/>
          <w:divBdr>
            <w:top w:val="none" w:sz="0" w:space="0" w:color="auto"/>
            <w:left w:val="none" w:sz="0" w:space="0" w:color="auto"/>
            <w:bottom w:val="none" w:sz="0" w:space="0" w:color="auto"/>
            <w:right w:val="none" w:sz="0" w:space="0" w:color="auto"/>
          </w:divBdr>
          <w:divsChild>
            <w:div w:id="307128033">
              <w:marLeft w:val="0"/>
              <w:marRight w:val="0"/>
              <w:marTop w:val="0"/>
              <w:marBottom w:val="0"/>
              <w:divBdr>
                <w:top w:val="none" w:sz="0" w:space="0" w:color="auto"/>
                <w:left w:val="none" w:sz="0" w:space="0" w:color="auto"/>
                <w:bottom w:val="none" w:sz="0" w:space="0" w:color="auto"/>
                <w:right w:val="none" w:sz="0" w:space="0" w:color="auto"/>
              </w:divBdr>
              <w:divsChild>
                <w:div w:id="12133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8662">
      <w:bodyDiv w:val="1"/>
      <w:marLeft w:val="0"/>
      <w:marRight w:val="0"/>
      <w:marTop w:val="0"/>
      <w:marBottom w:val="0"/>
      <w:divBdr>
        <w:top w:val="none" w:sz="0" w:space="0" w:color="auto"/>
        <w:left w:val="none" w:sz="0" w:space="0" w:color="auto"/>
        <w:bottom w:val="none" w:sz="0" w:space="0" w:color="auto"/>
        <w:right w:val="none" w:sz="0" w:space="0" w:color="auto"/>
      </w:divBdr>
      <w:divsChild>
        <w:div w:id="1411539469">
          <w:marLeft w:val="0"/>
          <w:marRight w:val="0"/>
          <w:marTop w:val="0"/>
          <w:marBottom w:val="0"/>
          <w:divBdr>
            <w:top w:val="none" w:sz="0" w:space="0" w:color="auto"/>
            <w:left w:val="none" w:sz="0" w:space="0" w:color="auto"/>
            <w:bottom w:val="none" w:sz="0" w:space="0" w:color="auto"/>
            <w:right w:val="none" w:sz="0" w:space="0" w:color="auto"/>
          </w:divBdr>
          <w:divsChild>
            <w:div w:id="1128737901">
              <w:marLeft w:val="0"/>
              <w:marRight w:val="0"/>
              <w:marTop w:val="0"/>
              <w:marBottom w:val="0"/>
              <w:divBdr>
                <w:top w:val="none" w:sz="0" w:space="0" w:color="auto"/>
                <w:left w:val="none" w:sz="0" w:space="0" w:color="auto"/>
                <w:bottom w:val="none" w:sz="0" w:space="0" w:color="auto"/>
                <w:right w:val="none" w:sz="0" w:space="0" w:color="auto"/>
              </w:divBdr>
              <w:divsChild>
                <w:div w:id="198993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47450">
      <w:bodyDiv w:val="1"/>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sChild>
                <w:div w:id="6298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82829">
      <w:bodyDiv w:val="1"/>
      <w:marLeft w:val="0"/>
      <w:marRight w:val="0"/>
      <w:marTop w:val="0"/>
      <w:marBottom w:val="0"/>
      <w:divBdr>
        <w:top w:val="none" w:sz="0" w:space="0" w:color="auto"/>
        <w:left w:val="none" w:sz="0" w:space="0" w:color="auto"/>
        <w:bottom w:val="none" w:sz="0" w:space="0" w:color="auto"/>
        <w:right w:val="none" w:sz="0" w:space="0" w:color="auto"/>
      </w:divBdr>
      <w:divsChild>
        <w:div w:id="2115512242">
          <w:marLeft w:val="0"/>
          <w:marRight w:val="0"/>
          <w:marTop w:val="0"/>
          <w:marBottom w:val="0"/>
          <w:divBdr>
            <w:top w:val="none" w:sz="0" w:space="0" w:color="auto"/>
            <w:left w:val="none" w:sz="0" w:space="0" w:color="auto"/>
            <w:bottom w:val="none" w:sz="0" w:space="0" w:color="auto"/>
            <w:right w:val="none" w:sz="0" w:space="0" w:color="auto"/>
          </w:divBdr>
          <w:divsChild>
            <w:div w:id="481848858">
              <w:marLeft w:val="0"/>
              <w:marRight w:val="0"/>
              <w:marTop w:val="0"/>
              <w:marBottom w:val="0"/>
              <w:divBdr>
                <w:top w:val="none" w:sz="0" w:space="0" w:color="auto"/>
                <w:left w:val="none" w:sz="0" w:space="0" w:color="auto"/>
                <w:bottom w:val="none" w:sz="0" w:space="0" w:color="auto"/>
                <w:right w:val="none" w:sz="0" w:space="0" w:color="auto"/>
              </w:divBdr>
              <w:divsChild>
                <w:div w:id="12131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966577">
      <w:bodyDiv w:val="1"/>
      <w:marLeft w:val="0"/>
      <w:marRight w:val="0"/>
      <w:marTop w:val="0"/>
      <w:marBottom w:val="0"/>
      <w:divBdr>
        <w:top w:val="none" w:sz="0" w:space="0" w:color="auto"/>
        <w:left w:val="none" w:sz="0" w:space="0" w:color="auto"/>
        <w:bottom w:val="none" w:sz="0" w:space="0" w:color="auto"/>
        <w:right w:val="none" w:sz="0" w:space="0" w:color="auto"/>
      </w:divBdr>
      <w:divsChild>
        <w:div w:id="1541892459">
          <w:marLeft w:val="0"/>
          <w:marRight w:val="0"/>
          <w:marTop w:val="0"/>
          <w:marBottom w:val="0"/>
          <w:divBdr>
            <w:top w:val="none" w:sz="0" w:space="0" w:color="auto"/>
            <w:left w:val="none" w:sz="0" w:space="0" w:color="auto"/>
            <w:bottom w:val="none" w:sz="0" w:space="0" w:color="auto"/>
            <w:right w:val="none" w:sz="0" w:space="0" w:color="auto"/>
          </w:divBdr>
          <w:divsChild>
            <w:div w:id="2120753767">
              <w:marLeft w:val="0"/>
              <w:marRight w:val="0"/>
              <w:marTop w:val="0"/>
              <w:marBottom w:val="0"/>
              <w:divBdr>
                <w:top w:val="none" w:sz="0" w:space="0" w:color="auto"/>
                <w:left w:val="none" w:sz="0" w:space="0" w:color="auto"/>
                <w:bottom w:val="none" w:sz="0" w:space="0" w:color="auto"/>
                <w:right w:val="none" w:sz="0" w:space="0" w:color="auto"/>
              </w:divBdr>
              <w:divsChild>
                <w:div w:id="11769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5729">
      <w:bodyDiv w:val="1"/>
      <w:marLeft w:val="0"/>
      <w:marRight w:val="0"/>
      <w:marTop w:val="0"/>
      <w:marBottom w:val="0"/>
      <w:divBdr>
        <w:top w:val="none" w:sz="0" w:space="0" w:color="auto"/>
        <w:left w:val="none" w:sz="0" w:space="0" w:color="auto"/>
        <w:bottom w:val="none" w:sz="0" w:space="0" w:color="auto"/>
        <w:right w:val="none" w:sz="0" w:space="0" w:color="auto"/>
      </w:divBdr>
      <w:divsChild>
        <w:div w:id="314143434">
          <w:marLeft w:val="0"/>
          <w:marRight w:val="0"/>
          <w:marTop w:val="0"/>
          <w:marBottom w:val="0"/>
          <w:divBdr>
            <w:top w:val="none" w:sz="0" w:space="0" w:color="auto"/>
            <w:left w:val="none" w:sz="0" w:space="0" w:color="auto"/>
            <w:bottom w:val="none" w:sz="0" w:space="0" w:color="auto"/>
            <w:right w:val="none" w:sz="0" w:space="0" w:color="auto"/>
          </w:divBdr>
          <w:divsChild>
            <w:div w:id="153300479">
              <w:marLeft w:val="0"/>
              <w:marRight w:val="0"/>
              <w:marTop w:val="0"/>
              <w:marBottom w:val="0"/>
              <w:divBdr>
                <w:top w:val="none" w:sz="0" w:space="0" w:color="auto"/>
                <w:left w:val="none" w:sz="0" w:space="0" w:color="auto"/>
                <w:bottom w:val="none" w:sz="0" w:space="0" w:color="auto"/>
                <w:right w:val="none" w:sz="0" w:space="0" w:color="auto"/>
              </w:divBdr>
              <w:divsChild>
                <w:div w:id="17406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7917">
      <w:bodyDiv w:val="1"/>
      <w:marLeft w:val="0"/>
      <w:marRight w:val="0"/>
      <w:marTop w:val="0"/>
      <w:marBottom w:val="0"/>
      <w:divBdr>
        <w:top w:val="none" w:sz="0" w:space="0" w:color="auto"/>
        <w:left w:val="none" w:sz="0" w:space="0" w:color="auto"/>
        <w:bottom w:val="none" w:sz="0" w:space="0" w:color="auto"/>
        <w:right w:val="none" w:sz="0" w:space="0" w:color="auto"/>
      </w:divBdr>
      <w:divsChild>
        <w:div w:id="473987794">
          <w:marLeft w:val="0"/>
          <w:marRight w:val="0"/>
          <w:marTop w:val="0"/>
          <w:marBottom w:val="0"/>
          <w:divBdr>
            <w:top w:val="none" w:sz="0" w:space="0" w:color="auto"/>
            <w:left w:val="none" w:sz="0" w:space="0" w:color="auto"/>
            <w:bottom w:val="none" w:sz="0" w:space="0" w:color="auto"/>
            <w:right w:val="none" w:sz="0" w:space="0" w:color="auto"/>
          </w:divBdr>
          <w:divsChild>
            <w:div w:id="2089113620">
              <w:marLeft w:val="0"/>
              <w:marRight w:val="0"/>
              <w:marTop w:val="0"/>
              <w:marBottom w:val="0"/>
              <w:divBdr>
                <w:top w:val="none" w:sz="0" w:space="0" w:color="auto"/>
                <w:left w:val="none" w:sz="0" w:space="0" w:color="auto"/>
                <w:bottom w:val="none" w:sz="0" w:space="0" w:color="auto"/>
                <w:right w:val="none" w:sz="0" w:space="0" w:color="auto"/>
              </w:divBdr>
              <w:divsChild>
                <w:div w:id="616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4063">
      <w:bodyDiv w:val="1"/>
      <w:marLeft w:val="0"/>
      <w:marRight w:val="0"/>
      <w:marTop w:val="0"/>
      <w:marBottom w:val="0"/>
      <w:divBdr>
        <w:top w:val="none" w:sz="0" w:space="0" w:color="auto"/>
        <w:left w:val="none" w:sz="0" w:space="0" w:color="auto"/>
        <w:bottom w:val="none" w:sz="0" w:space="0" w:color="auto"/>
        <w:right w:val="none" w:sz="0" w:space="0" w:color="auto"/>
      </w:divBdr>
      <w:divsChild>
        <w:div w:id="983898166">
          <w:marLeft w:val="0"/>
          <w:marRight w:val="0"/>
          <w:marTop w:val="0"/>
          <w:marBottom w:val="0"/>
          <w:divBdr>
            <w:top w:val="none" w:sz="0" w:space="0" w:color="auto"/>
            <w:left w:val="none" w:sz="0" w:space="0" w:color="auto"/>
            <w:bottom w:val="none" w:sz="0" w:space="0" w:color="auto"/>
            <w:right w:val="none" w:sz="0" w:space="0" w:color="auto"/>
          </w:divBdr>
          <w:divsChild>
            <w:div w:id="1649435032">
              <w:marLeft w:val="0"/>
              <w:marRight w:val="0"/>
              <w:marTop w:val="0"/>
              <w:marBottom w:val="0"/>
              <w:divBdr>
                <w:top w:val="none" w:sz="0" w:space="0" w:color="auto"/>
                <w:left w:val="none" w:sz="0" w:space="0" w:color="auto"/>
                <w:bottom w:val="none" w:sz="0" w:space="0" w:color="auto"/>
                <w:right w:val="none" w:sz="0" w:space="0" w:color="auto"/>
              </w:divBdr>
              <w:divsChild>
                <w:div w:id="20026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43897">
      <w:bodyDiv w:val="1"/>
      <w:marLeft w:val="0"/>
      <w:marRight w:val="0"/>
      <w:marTop w:val="0"/>
      <w:marBottom w:val="0"/>
      <w:divBdr>
        <w:top w:val="none" w:sz="0" w:space="0" w:color="auto"/>
        <w:left w:val="none" w:sz="0" w:space="0" w:color="auto"/>
        <w:bottom w:val="none" w:sz="0" w:space="0" w:color="auto"/>
        <w:right w:val="none" w:sz="0" w:space="0" w:color="auto"/>
      </w:divBdr>
      <w:divsChild>
        <w:div w:id="252248387">
          <w:marLeft w:val="0"/>
          <w:marRight w:val="0"/>
          <w:marTop w:val="0"/>
          <w:marBottom w:val="0"/>
          <w:divBdr>
            <w:top w:val="none" w:sz="0" w:space="0" w:color="auto"/>
            <w:left w:val="none" w:sz="0" w:space="0" w:color="auto"/>
            <w:bottom w:val="none" w:sz="0" w:space="0" w:color="auto"/>
            <w:right w:val="none" w:sz="0" w:space="0" w:color="auto"/>
          </w:divBdr>
          <w:divsChild>
            <w:div w:id="329674083">
              <w:marLeft w:val="0"/>
              <w:marRight w:val="0"/>
              <w:marTop w:val="0"/>
              <w:marBottom w:val="0"/>
              <w:divBdr>
                <w:top w:val="none" w:sz="0" w:space="0" w:color="auto"/>
                <w:left w:val="none" w:sz="0" w:space="0" w:color="auto"/>
                <w:bottom w:val="none" w:sz="0" w:space="0" w:color="auto"/>
                <w:right w:val="none" w:sz="0" w:space="0" w:color="auto"/>
              </w:divBdr>
              <w:divsChild>
                <w:div w:id="7005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1</cp:revision>
  <dcterms:created xsi:type="dcterms:W3CDTF">2019-04-04T01:09:00Z</dcterms:created>
  <dcterms:modified xsi:type="dcterms:W3CDTF">2019-04-04T01:32:00Z</dcterms:modified>
</cp:coreProperties>
</file>