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E7AF2" w14:textId="1948AC9E" w:rsidR="0032364D" w:rsidRPr="00670853" w:rsidRDefault="0032364D" w:rsidP="00670853">
      <w:pPr>
        <w:spacing w:line="360" w:lineRule="auto"/>
        <w:rPr>
          <w:rFonts w:ascii="Calibri" w:hAnsi="Calibri" w:cs="Calibri"/>
          <w:b/>
          <w:lang w:val="en-US"/>
        </w:rPr>
      </w:pPr>
      <w:r w:rsidRPr="00670853">
        <w:rPr>
          <w:rFonts w:ascii="Calibri" w:hAnsi="Calibri" w:cs="Calibri"/>
          <w:b/>
          <w:lang w:val="en-US"/>
        </w:rPr>
        <w:t xml:space="preserve">Vomiting, Ileus, </w:t>
      </w:r>
      <w:r w:rsidR="00670853" w:rsidRPr="00670853">
        <w:rPr>
          <w:rFonts w:ascii="Calibri" w:hAnsi="Calibri" w:cs="Calibri"/>
          <w:b/>
          <w:lang w:val="en-US"/>
        </w:rPr>
        <w:t>Current Literature</w:t>
      </w:r>
      <w:r w:rsidR="00670853" w:rsidRPr="00670853">
        <w:rPr>
          <w:rFonts w:ascii="Calibri" w:hAnsi="Calibri" w:cs="Calibri"/>
          <w:b/>
          <w:lang w:val="en-US"/>
        </w:rPr>
        <w:tab/>
      </w:r>
      <w:r w:rsidR="00670853" w:rsidRPr="00670853">
        <w:rPr>
          <w:rFonts w:ascii="Calibri" w:hAnsi="Calibri" w:cs="Calibri"/>
          <w:b/>
          <w:lang w:val="en-US"/>
        </w:rPr>
        <w:tab/>
      </w:r>
      <w:r w:rsidR="00670853" w:rsidRPr="00670853">
        <w:rPr>
          <w:rFonts w:ascii="Calibri" w:hAnsi="Calibri" w:cs="Calibri"/>
          <w:b/>
          <w:lang w:val="en-US"/>
        </w:rPr>
        <w:tab/>
      </w:r>
      <w:r w:rsidR="00670853" w:rsidRPr="00670853">
        <w:rPr>
          <w:rFonts w:ascii="Calibri" w:hAnsi="Calibri" w:cs="Calibri"/>
          <w:b/>
          <w:lang w:val="en-US"/>
        </w:rPr>
        <w:tab/>
      </w:r>
      <w:r w:rsidR="00670853" w:rsidRPr="00670853">
        <w:rPr>
          <w:rFonts w:ascii="Calibri" w:hAnsi="Calibri" w:cs="Calibri"/>
          <w:b/>
          <w:lang w:val="en-US"/>
        </w:rPr>
        <w:tab/>
      </w:r>
      <w:r w:rsidR="00CA201D">
        <w:rPr>
          <w:rFonts w:ascii="Calibri" w:hAnsi="Calibri" w:cs="Calibri"/>
          <w:b/>
          <w:lang w:val="en-US"/>
        </w:rPr>
        <w:tab/>
      </w:r>
      <w:r w:rsidR="00CA201D">
        <w:rPr>
          <w:rFonts w:ascii="Calibri" w:hAnsi="Calibri" w:cs="Calibri"/>
          <w:b/>
          <w:lang w:val="en-US"/>
        </w:rPr>
        <w:tab/>
      </w:r>
      <w:bookmarkStart w:id="0" w:name="_GoBack"/>
      <w:bookmarkEnd w:id="0"/>
      <w:r w:rsidR="00670853" w:rsidRPr="00670853">
        <w:rPr>
          <w:rFonts w:ascii="Calibri" w:hAnsi="Calibri" w:cs="Calibri"/>
          <w:b/>
          <w:lang w:val="en-US"/>
        </w:rPr>
        <w:tab/>
        <w:t>Carissa Tong</w:t>
      </w:r>
    </w:p>
    <w:p w14:paraId="03CF8EC7" w14:textId="32168013" w:rsidR="0032364D" w:rsidRPr="00D43409" w:rsidRDefault="004225D8" w:rsidP="006F6801">
      <w:pPr>
        <w:spacing w:line="360" w:lineRule="auto"/>
        <w:jc w:val="center"/>
        <w:rPr>
          <w:rFonts w:ascii="Calibri" w:hAnsi="Calibri" w:cs="Calibri"/>
          <w:sz w:val="22"/>
          <w:szCs w:val="22"/>
          <w:u w:val="single"/>
          <w:lang w:val="en-US"/>
        </w:rPr>
      </w:pPr>
      <w:r w:rsidRPr="00D43409">
        <w:rPr>
          <w:rFonts w:ascii="Calibri" w:hAnsi="Calibri" w:cs="Calibri"/>
          <w:noProof/>
          <w:sz w:val="22"/>
          <w:szCs w:val="22"/>
          <w:u w:val="single"/>
          <w:lang w:val="en-US"/>
        </w:rPr>
        <w:drawing>
          <wp:anchor distT="0" distB="0" distL="114300" distR="114300" simplePos="0" relativeHeight="251658240" behindDoc="0" locked="0" layoutInCell="1" allowOverlap="1" wp14:anchorId="4AA356D0" wp14:editId="4B5A73F0">
            <wp:simplePos x="0" y="0"/>
            <wp:positionH relativeFrom="column">
              <wp:posOffset>4940800</wp:posOffset>
            </wp:positionH>
            <wp:positionV relativeFrom="paragraph">
              <wp:posOffset>160655</wp:posOffset>
            </wp:positionV>
            <wp:extent cx="2146300" cy="25580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b="4086"/>
                    <a:stretch/>
                  </pic:blipFill>
                  <pic:spPr bwMode="auto">
                    <a:xfrm>
                      <a:off x="0" y="0"/>
                      <a:ext cx="2146300" cy="2558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7EEF1A" w14:textId="7C720515" w:rsidR="00F73B7B" w:rsidRPr="00D43409" w:rsidRDefault="00B93CEA" w:rsidP="006F6801">
      <w:pPr>
        <w:spacing w:line="360" w:lineRule="auto"/>
        <w:rPr>
          <w:rFonts w:ascii="Calibri" w:hAnsi="Calibri" w:cs="Calibri"/>
          <w:sz w:val="22"/>
          <w:szCs w:val="22"/>
          <w:u w:val="single"/>
          <w:lang w:val="en-US"/>
        </w:rPr>
      </w:pPr>
      <w:r w:rsidRPr="00D43409">
        <w:rPr>
          <w:rFonts w:ascii="Calibri" w:hAnsi="Calibri" w:cs="Calibri"/>
          <w:sz w:val="22"/>
          <w:szCs w:val="22"/>
          <w:u w:val="single"/>
          <w:lang w:val="en-US"/>
        </w:rPr>
        <w:t xml:space="preserve">Vomiting </w:t>
      </w:r>
    </w:p>
    <w:p w14:paraId="0A7CCC07" w14:textId="15427887" w:rsidR="008C3744" w:rsidRPr="00D43409" w:rsidRDefault="008C3744" w:rsidP="006F6801">
      <w:pPr>
        <w:spacing w:line="360" w:lineRule="auto"/>
        <w:jc w:val="center"/>
        <w:rPr>
          <w:rFonts w:ascii="Calibri" w:hAnsi="Calibri" w:cs="Calibri"/>
          <w:sz w:val="22"/>
          <w:szCs w:val="22"/>
          <w:u w:val="single"/>
          <w:lang w:val="en-US"/>
        </w:rPr>
      </w:pPr>
    </w:p>
    <w:p w14:paraId="5119A1EB" w14:textId="1F6F7359" w:rsidR="001C61A9" w:rsidRPr="00D43409" w:rsidRDefault="00EC720B" w:rsidP="006F6801">
      <w:pPr>
        <w:pStyle w:val="ListParagraph"/>
        <w:numPr>
          <w:ilvl w:val="0"/>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Vomiting (Emesis) defined as the forceful expulsion of content from the stomach and intestine, a defense mechanism </w:t>
      </w:r>
    </w:p>
    <w:p w14:paraId="4987F723" w14:textId="75BC8B81" w:rsidR="008345A7" w:rsidRPr="00D43409" w:rsidRDefault="008345A7" w:rsidP="006F6801">
      <w:pPr>
        <w:pStyle w:val="ListParagraph"/>
        <w:numPr>
          <w:ilvl w:val="0"/>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The emetic center is located within the reticular formation of the medulla oblongata of the brainstem </w:t>
      </w:r>
    </w:p>
    <w:p w14:paraId="772C96CA" w14:textId="4908B643" w:rsidR="00AC1348" w:rsidRPr="00D43409" w:rsidRDefault="00AC1348"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In close proximity to the nucleus </w:t>
      </w:r>
      <w:proofErr w:type="spellStart"/>
      <w:r w:rsidRPr="00D43409">
        <w:rPr>
          <w:rFonts w:ascii="Calibri" w:hAnsi="Calibri" w:cs="Calibri"/>
          <w:sz w:val="22"/>
          <w:szCs w:val="22"/>
          <w:lang w:val="en-US"/>
        </w:rPr>
        <w:t>tractus</w:t>
      </w:r>
      <w:proofErr w:type="spellEnd"/>
      <w:r w:rsidRPr="00D43409">
        <w:rPr>
          <w:rFonts w:ascii="Calibri" w:hAnsi="Calibri" w:cs="Calibri"/>
          <w:sz w:val="22"/>
          <w:szCs w:val="22"/>
          <w:lang w:val="en-US"/>
        </w:rPr>
        <w:t xml:space="preserve"> solitarius</w:t>
      </w:r>
      <w:r w:rsidR="00BF4B87" w:rsidRPr="00D43409">
        <w:rPr>
          <w:rFonts w:ascii="Calibri" w:hAnsi="Calibri" w:cs="Calibri"/>
          <w:sz w:val="22"/>
          <w:szCs w:val="22"/>
          <w:lang w:val="en-US"/>
        </w:rPr>
        <w:t xml:space="preserve"> (NTS)</w:t>
      </w:r>
      <w:r w:rsidRPr="00D43409">
        <w:rPr>
          <w:rFonts w:ascii="Calibri" w:hAnsi="Calibri" w:cs="Calibri"/>
          <w:sz w:val="22"/>
          <w:szCs w:val="22"/>
          <w:lang w:val="en-US"/>
        </w:rPr>
        <w:t xml:space="preserve"> of the vagus nerve and the chemoreceptor trigger zone (CRTZ)</w:t>
      </w:r>
    </w:p>
    <w:p w14:paraId="522E6F3F" w14:textId="26AC35F2" w:rsidR="00B86F34" w:rsidRPr="00D43409" w:rsidRDefault="00B86F34"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Different receptors</w:t>
      </w:r>
      <w:r w:rsidR="00EC0BC4" w:rsidRPr="00D43409">
        <w:rPr>
          <w:rFonts w:ascii="Calibri" w:hAnsi="Calibri" w:cs="Calibri"/>
          <w:sz w:val="22"/>
          <w:szCs w:val="22"/>
          <w:lang w:val="en-US"/>
        </w:rPr>
        <w:t xml:space="preserve"> present:</w:t>
      </w:r>
      <w:r w:rsidRPr="00D43409">
        <w:rPr>
          <w:rFonts w:ascii="Calibri" w:hAnsi="Calibri" w:cs="Calibri"/>
          <w:sz w:val="22"/>
          <w:szCs w:val="22"/>
          <w:lang w:val="en-US"/>
        </w:rPr>
        <w:t xml:space="preserve"> adrenergic,</w:t>
      </w:r>
      <w:r w:rsidR="003E383D" w:rsidRPr="00D43409">
        <w:rPr>
          <w:rFonts w:ascii="Calibri" w:hAnsi="Calibri" w:cs="Calibri"/>
          <w:sz w:val="22"/>
          <w:szCs w:val="22"/>
          <w:lang w:val="en-US"/>
        </w:rPr>
        <w:t xml:space="preserve"> 5H</w:t>
      </w:r>
      <w:r w:rsidR="004C59D7" w:rsidRPr="00D43409">
        <w:rPr>
          <w:rFonts w:ascii="Calibri" w:hAnsi="Calibri" w:cs="Calibri"/>
          <w:sz w:val="22"/>
          <w:szCs w:val="22"/>
          <w:lang w:val="en-US"/>
        </w:rPr>
        <w:t>T-1, NK-1</w:t>
      </w:r>
    </w:p>
    <w:p w14:paraId="1CA07804" w14:textId="01CCBBAA" w:rsidR="006653B6" w:rsidRPr="00D43409" w:rsidRDefault="006653B6" w:rsidP="006F6801">
      <w:pPr>
        <w:spacing w:line="360" w:lineRule="auto"/>
        <w:jc w:val="center"/>
        <w:rPr>
          <w:rFonts w:ascii="Calibri" w:hAnsi="Calibri" w:cs="Calibri"/>
          <w:sz w:val="22"/>
          <w:szCs w:val="22"/>
        </w:rPr>
      </w:pPr>
      <w:r w:rsidRPr="00D43409">
        <w:rPr>
          <w:rFonts w:ascii="Calibri" w:hAnsi="Calibri" w:cs="Calibri"/>
          <w:sz w:val="22"/>
          <w:szCs w:val="22"/>
        </w:rPr>
        <w:fldChar w:fldCharType="begin"/>
      </w:r>
      <w:r w:rsidRPr="00D43409">
        <w:rPr>
          <w:rFonts w:ascii="Calibri" w:hAnsi="Calibri" w:cs="Calibri"/>
          <w:sz w:val="22"/>
          <w:szCs w:val="22"/>
        </w:rPr>
        <w:instrText xml:space="preserve"> INCLUDEPICTURE "https://veteriankey.com/wp-content/uploads/2016/07/F000085f008-006-9780323186629.jpg" \* MERGEFORMATINET </w:instrText>
      </w:r>
      <w:r w:rsidRPr="00D43409">
        <w:rPr>
          <w:rFonts w:ascii="Calibri" w:hAnsi="Calibri" w:cs="Calibri"/>
          <w:sz w:val="22"/>
          <w:szCs w:val="22"/>
        </w:rPr>
        <w:fldChar w:fldCharType="separate"/>
      </w:r>
      <w:r w:rsidRPr="00D43409">
        <w:rPr>
          <w:rFonts w:ascii="Calibri" w:hAnsi="Calibri" w:cs="Calibri"/>
          <w:noProof/>
          <w:sz w:val="22"/>
          <w:szCs w:val="22"/>
        </w:rPr>
        <w:drawing>
          <wp:inline distT="0" distB="0" distL="0" distR="0" wp14:anchorId="27AFC189" wp14:editId="4485CFC9">
            <wp:extent cx="4508500" cy="3806283"/>
            <wp:effectExtent l="0" t="0" r="0" b="3810"/>
            <wp:docPr id="10"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6674" cy="3813184"/>
                    </a:xfrm>
                    <a:prstGeom prst="rect">
                      <a:avLst/>
                    </a:prstGeom>
                    <a:noFill/>
                    <a:ln>
                      <a:noFill/>
                    </a:ln>
                  </pic:spPr>
                </pic:pic>
              </a:graphicData>
            </a:graphic>
          </wp:inline>
        </w:drawing>
      </w:r>
      <w:r w:rsidRPr="00D43409">
        <w:rPr>
          <w:rFonts w:ascii="Calibri" w:hAnsi="Calibri" w:cs="Calibri"/>
          <w:sz w:val="22"/>
          <w:szCs w:val="22"/>
        </w:rPr>
        <w:fldChar w:fldCharType="end"/>
      </w:r>
    </w:p>
    <w:p w14:paraId="320C1CBA" w14:textId="3F509B93" w:rsidR="006653B6" w:rsidRPr="00287C68" w:rsidRDefault="00CB2D7E" w:rsidP="006F6801">
      <w:pPr>
        <w:spacing w:line="360" w:lineRule="auto"/>
        <w:jc w:val="center"/>
        <w:rPr>
          <w:rFonts w:ascii="Calibri" w:hAnsi="Calibri" w:cs="Calibri"/>
          <w:sz w:val="10"/>
          <w:szCs w:val="10"/>
          <w:lang w:val="en-US"/>
        </w:rPr>
      </w:pPr>
      <w:r w:rsidRPr="00287C68">
        <w:rPr>
          <w:rFonts w:ascii="Calibri" w:hAnsi="Calibri" w:cs="Calibri"/>
          <w:sz w:val="10"/>
          <w:szCs w:val="10"/>
        </w:rPr>
        <w:t>(</w:t>
      </w:r>
      <w:r w:rsidR="00287C68" w:rsidRPr="00287C68">
        <w:rPr>
          <w:rFonts w:ascii="Calibri" w:eastAsiaTheme="minorEastAsia" w:hAnsi="Calibri" w:cs="Calibri"/>
          <w:color w:val="000000"/>
          <w:sz w:val="10"/>
          <w:szCs w:val="10"/>
          <w:lang w:val="en-US"/>
        </w:rPr>
        <w:t>From Boothe DM: Gastrointestinal pharmacology. In Small animal clinical pharmacology and therapeutics, Philadelphia, 2012, WB Saunders, Figure 19-2.</w:t>
      </w:r>
      <w:r w:rsidRPr="00287C68">
        <w:rPr>
          <w:rFonts w:ascii="Calibri" w:hAnsi="Calibri" w:cs="Calibri"/>
          <w:sz w:val="10"/>
          <w:szCs w:val="10"/>
          <w:lang w:val="en-US"/>
        </w:rPr>
        <w:t xml:space="preserve"> </w:t>
      </w:r>
    </w:p>
    <w:p w14:paraId="26EFF26D" w14:textId="77777777" w:rsidR="00392D01" w:rsidRPr="00D43409" w:rsidRDefault="00392D01" w:rsidP="006F6801">
      <w:pPr>
        <w:pStyle w:val="ListParagraph"/>
        <w:numPr>
          <w:ilvl w:val="0"/>
          <w:numId w:val="3"/>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Peripheral sensory receptors </w:t>
      </w:r>
    </w:p>
    <w:p w14:paraId="4AD9F745" w14:textId="5168C794" w:rsidR="00392D01" w:rsidRPr="00D43409" w:rsidRDefault="00392D01"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Release of serotonin (5-HT) </w:t>
      </w:r>
      <w:r w:rsidR="004B43D1" w:rsidRPr="00D43409">
        <w:rPr>
          <w:rFonts w:ascii="Calibri" w:hAnsi="Calibri" w:cs="Calibri"/>
          <w:sz w:val="22"/>
          <w:szCs w:val="22"/>
          <w:lang w:val="en-US"/>
        </w:rPr>
        <w:t xml:space="preserve">and substance P </w:t>
      </w:r>
      <w:r w:rsidRPr="00D43409">
        <w:rPr>
          <w:rFonts w:ascii="Calibri" w:hAnsi="Calibri" w:cs="Calibri"/>
          <w:sz w:val="22"/>
          <w:szCs w:val="22"/>
          <w:lang w:val="en-US"/>
        </w:rPr>
        <w:t>from enterochromaffin cells (present in canine gastric</w:t>
      </w:r>
      <w:r w:rsidR="0017715E">
        <w:rPr>
          <w:rFonts w:ascii="Calibri" w:hAnsi="Calibri" w:cs="Calibri"/>
          <w:sz w:val="22"/>
          <w:szCs w:val="22"/>
          <w:lang w:val="en-US"/>
        </w:rPr>
        <w:t xml:space="preserve"> and duodenal mucosa) stimulate</w:t>
      </w:r>
      <w:r w:rsidRPr="00D43409">
        <w:rPr>
          <w:rFonts w:ascii="Calibri" w:hAnsi="Calibri" w:cs="Calibri"/>
          <w:sz w:val="22"/>
          <w:szCs w:val="22"/>
          <w:lang w:val="en-US"/>
        </w:rPr>
        <w:t xml:space="preserve"> vagal afferents via 5-HT3 </w:t>
      </w:r>
      <w:r w:rsidR="004B43D1" w:rsidRPr="00D43409">
        <w:rPr>
          <w:rFonts w:ascii="Calibri" w:hAnsi="Calibri" w:cs="Calibri"/>
          <w:sz w:val="22"/>
          <w:szCs w:val="22"/>
          <w:lang w:val="en-US"/>
        </w:rPr>
        <w:t xml:space="preserve"> + NK-1 </w:t>
      </w:r>
      <w:r w:rsidRPr="00D43409">
        <w:rPr>
          <w:rFonts w:ascii="Calibri" w:hAnsi="Calibri" w:cs="Calibri"/>
          <w:sz w:val="22"/>
          <w:szCs w:val="22"/>
          <w:lang w:val="en-US"/>
        </w:rPr>
        <w:t xml:space="preserve">receptors </w:t>
      </w:r>
    </w:p>
    <w:p w14:paraId="6908A31D" w14:textId="780CBE2F" w:rsidR="00C11C4D" w:rsidRPr="00D43409" w:rsidRDefault="00C11C4D" w:rsidP="006F6801">
      <w:pPr>
        <w:pStyle w:val="ListParagraph"/>
        <w:numPr>
          <w:ilvl w:val="0"/>
          <w:numId w:val="3"/>
        </w:numPr>
        <w:spacing w:line="360" w:lineRule="auto"/>
        <w:rPr>
          <w:rFonts w:ascii="Calibri" w:hAnsi="Calibri" w:cs="Calibri"/>
          <w:b/>
          <w:sz w:val="22"/>
          <w:szCs w:val="22"/>
          <w:lang w:val="en-US"/>
        </w:rPr>
      </w:pPr>
      <w:r w:rsidRPr="00D43409">
        <w:rPr>
          <w:rFonts w:ascii="Calibri" w:hAnsi="Calibri" w:cs="Calibri"/>
          <w:b/>
          <w:sz w:val="22"/>
          <w:szCs w:val="22"/>
          <w:lang w:val="en-US"/>
        </w:rPr>
        <w:t>Chemoreceptor trigger zone (CRTZ)</w:t>
      </w:r>
    </w:p>
    <w:p w14:paraId="4793F3B5" w14:textId="3BBD5860" w:rsidR="0057168D" w:rsidRPr="00D43409" w:rsidRDefault="0057168D"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lastRenderedPageBreak/>
        <w:t xml:space="preserve">In the area </w:t>
      </w:r>
      <w:proofErr w:type="spellStart"/>
      <w:r w:rsidRPr="00D43409">
        <w:rPr>
          <w:rFonts w:ascii="Calibri" w:hAnsi="Calibri" w:cs="Calibri"/>
          <w:sz w:val="22"/>
          <w:szCs w:val="22"/>
          <w:lang w:val="en-US"/>
        </w:rPr>
        <w:t>postrema</w:t>
      </w:r>
      <w:proofErr w:type="spellEnd"/>
      <w:r w:rsidR="0017715E">
        <w:rPr>
          <w:rFonts w:ascii="Calibri" w:hAnsi="Calibri" w:cs="Calibri"/>
          <w:sz w:val="22"/>
          <w:szCs w:val="22"/>
          <w:lang w:val="en-US"/>
        </w:rPr>
        <w:t>,</w:t>
      </w:r>
      <w:r w:rsidRPr="00D43409">
        <w:rPr>
          <w:rFonts w:ascii="Calibri" w:hAnsi="Calibri" w:cs="Calibri"/>
          <w:sz w:val="22"/>
          <w:szCs w:val="22"/>
          <w:lang w:val="en-US"/>
        </w:rPr>
        <w:t xml:space="preserve"> which is located on the dorsal surface of the medulla oblongata adjacent to the caudal end of the 4</w:t>
      </w:r>
      <w:r w:rsidRPr="00D43409">
        <w:rPr>
          <w:rFonts w:ascii="Calibri" w:hAnsi="Calibri" w:cs="Calibri"/>
          <w:sz w:val="22"/>
          <w:szCs w:val="22"/>
          <w:vertAlign w:val="superscript"/>
          <w:lang w:val="en-US"/>
        </w:rPr>
        <w:t>th</w:t>
      </w:r>
      <w:r w:rsidRPr="00D43409">
        <w:rPr>
          <w:rFonts w:ascii="Calibri" w:hAnsi="Calibri" w:cs="Calibri"/>
          <w:sz w:val="22"/>
          <w:szCs w:val="22"/>
          <w:lang w:val="en-US"/>
        </w:rPr>
        <w:t xml:space="preserve"> ventricle </w:t>
      </w:r>
    </w:p>
    <w:p w14:paraId="7D8AC933" w14:textId="0248F214" w:rsidR="0057168D" w:rsidRPr="00D43409" w:rsidRDefault="0057168D"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t xml:space="preserve">Lacks BBB therefore responsive to circulating emetogens </w:t>
      </w:r>
    </w:p>
    <w:p w14:paraId="43BF3775" w14:textId="1373CC32" w:rsidR="003E383D" w:rsidRPr="00D43409" w:rsidRDefault="003E383D"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t xml:space="preserve">Receptors </w:t>
      </w:r>
      <w:r w:rsidR="004532C7" w:rsidRPr="00D43409">
        <w:rPr>
          <w:rFonts w:ascii="Calibri" w:hAnsi="Calibri" w:cs="Calibri"/>
          <w:sz w:val="22"/>
          <w:szCs w:val="22"/>
          <w:lang w:val="en-US"/>
        </w:rPr>
        <w:t>include</w:t>
      </w:r>
      <w:r w:rsidRPr="00D43409">
        <w:rPr>
          <w:rFonts w:ascii="Calibri" w:hAnsi="Calibri" w:cs="Calibri"/>
          <w:sz w:val="22"/>
          <w:szCs w:val="22"/>
          <w:lang w:val="en-US"/>
        </w:rPr>
        <w:t xml:space="preserve"> dopamine, histamine, peptide YY </w:t>
      </w:r>
    </w:p>
    <w:p w14:paraId="2E576555" w14:textId="27964157" w:rsidR="00ED11DF" w:rsidRPr="00D43409" w:rsidRDefault="00ED11DF" w:rsidP="006F6801">
      <w:pPr>
        <w:pStyle w:val="ListParagraph"/>
        <w:numPr>
          <w:ilvl w:val="2"/>
          <w:numId w:val="3"/>
        </w:numPr>
        <w:spacing w:line="360" w:lineRule="auto"/>
        <w:rPr>
          <w:rFonts w:ascii="Calibri" w:hAnsi="Calibri" w:cs="Calibri"/>
          <w:b/>
          <w:sz w:val="22"/>
          <w:szCs w:val="22"/>
          <w:lang w:val="en-US"/>
        </w:rPr>
      </w:pPr>
      <w:r w:rsidRPr="00D43409">
        <w:rPr>
          <w:rFonts w:ascii="Calibri" w:hAnsi="Calibri" w:cs="Calibri"/>
          <w:sz w:val="22"/>
          <w:szCs w:val="22"/>
          <w:lang w:val="en-US"/>
        </w:rPr>
        <w:t xml:space="preserve">Cats </w:t>
      </w:r>
      <w:r w:rsidR="00834157" w:rsidRPr="00D43409">
        <w:rPr>
          <w:rFonts w:ascii="Calibri" w:hAnsi="Calibri" w:cs="Calibri"/>
          <w:sz w:val="22"/>
          <w:szCs w:val="22"/>
          <w:lang w:val="en-US"/>
        </w:rPr>
        <w:t xml:space="preserve">appears to </w:t>
      </w:r>
      <w:r w:rsidRPr="00D43409">
        <w:rPr>
          <w:rFonts w:ascii="Calibri" w:hAnsi="Calibri" w:cs="Calibri"/>
          <w:sz w:val="22"/>
          <w:szCs w:val="22"/>
          <w:lang w:val="en-US"/>
        </w:rPr>
        <w:t>lack h</w:t>
      </w:r>
      <w:r w:rsidR="003B02B9" w:rsidRPr="00D43409">
        <w:rPr>
          <w:rFonts w:ascii="Calibri" w:hAnsi="Calibri" w:cs="Calibri"/>
          <w:sz w:val="22"/>
          <w:szCs w:val="22"/>
          <w:lang w:val="en-US"/>
        </w:rPr>
        <w:t>istamine</w:t>
      </w:r>
      <w:r w:rsidR="00834157" w:rsidRPr="00D43409">
        <w:rPr>
          <w:rFonts w:ascii="Calibri" w:hAnsi="Calibri" w:cs="Calibri"/>
          <w:sz w:val="22"/>
          <w:szCs w:val="22"/>
          <w:lang w:val="en-US"/>
        </w:rPr>
        <w:t xml:space="preserve"> and dopamine</w:t>
      </w:r>
      <w:r w:rsidR="003B02B9" w:rsidRPr="00D43409">
        <w:rPr>
          <w:rFonts w:ascii="Calibri" w:hAnsi="Calibri" w:cs="Calibri"/>
          <w:sz w:val="22"/>
          <w:szCs w:val="22"/>
          <w:lang w:val="en-US"/>
        </w:rPr>
        <w:t xml:space="preserve"> receptors in their CRTZ</w:t>
      </w:r>
    </w:p>
    <w:p w14:paraId="0B668BC5" w14:textId="6B85D984" w:rsidR="00C11C4D" w:rsidRPr="00D43409" w:rsidRDefault="00C11C4D" w:rsidP="006F6801">
      <w:pPr>
        <w:pStyle w:val="ListParagraph"/>
        <w:numPr>
          <w:ilvl w:val="0"/>
          <w:numId w:val="3"/>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Vestibular System </w:t>
      </w:r>
    </w:p>
    <w:p w14:paraId="1ACDCE69" w14:textId="2045BF8E" w:rsidR="00171378" w:rsidRPr="00D43409" w:rsidRDefault="00171378"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t>Vestibular nuclei (CN VIII) located in the brainstem</w:t>
      </w:r>
    </w:p>
    <w:p w14:paraId="73F1ADF7" w14:textId="66440743" w:rsidR="00616C3F" w:rsidRPr="00D43409" w:rsidRDefault="00616C3F"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t xml:space="preserve">Mechanism of motion sickness is poorly understood </w:t>
      </w:r>
    </w:p>
    <w:p w14:paraId="4AC5C5E5" w14:textId="12B7A65E" w:rsidR="00171378" w:rsidRPr="00D43409" w:rsidRDefault="00171378" w:rsidP="006F6801">
      <w:pPr>
        <w:pStyle w:val="ListParagraph"/>
        <w:numPr>
          <w:ilvl w:val="1"/>
          <w:numId w:val="3"/>
        </w:numPr>
        <w:spacing w:line="360" w:lineRule="auto"/>
        <w:rPr>
          <w:rFonts w:ascii="Calibri" w:hAnsi="Calibri" w:cs="Calibri"/>
          <w:b/>
          <w:sz w:val="22"/>
          <w:szCs w:val="22"/>
          <w:lang w:val="en-US"/>
        </w:rPr>
      </w:pPr>
      <w:r w:rsidRPr="00D43409">
        <w:rPr>
          <w:rFonts w:ascii="Calibri" w:hAnsi="Calibri" w:cs="Calibri"/>
          <w:sz w:val="22"/>
          <w:szCs w:val="22"/>
          <w:lang w:val="en-US"/>
        </w:rPr>
        <w:t xml:space="preserve">Receptors </w:t>
      </w:r>
      <w:r w:rsidR="008159E5" w:rsidRPr="00D43409">
        <w:rPr>
          <w:rFonts w:ascii="Calibri" w:hAnsi="Calibri" w:cs="Calibri"/>
          <w:sz w:val="22"/>
          <w:szCs w:val="22"/>
          <w:lang w:val="en-US"/>
        </w:rPr>
        <w:t>include histamine (H1)</w:t>
      </w:r>
      <w:r w:rsidRPr="00D43409">
        <w:rPr>
          <w:rFonts w:ascii="Calibri" w:hAnsi="Calibri" w:cs="Calibri"/>
          <w:sz w:val="22"/>
          <w:szCs w:val="22"/>
          <w:lang w:val="en-US"/>
        </w:rPr>
        <w:t xml:space="preserve"> and ACh muscarinic receptor </w:t>
      </w:r>
    </w:p>
    <w:p w14:paraId="35627F0F" w14:textId="18A4EA13" w:rsidR="002D480C" w:rsidRPr="00D43409" w:rsidRDefault="002D480C" w:rsidP="006F6801">
      <w:pPr>
        <w:pStyle w:val="ListParagraph"/>
        <w:numPr>
          <w:ilvl w:val="0"/>
          <w:numId w:val="3"/>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Higher Centers </w:t>
      </w:r>
      <w:r w:rsidR="00D81578" w:rsidRPr="00D43409">
        <w:rPr>
          <w:rFonts w:ascii="Calibri" w:hAnsi="Calibri" w:cs="Calibri"/>
          <w:sz w:val="22"/>
          <w:szCs w:val="22"/>
          <w:lang w:val="en-US"/>
        </w:rPr>
        <w:t xml:space="preserve">- cerebral cortex, limbic system </w:t>
      </w:r>
    </w:p>
    <w:p w14:paraId="409C5BD0" w14:textId="71EE7088" w:rsidR="00C032FD" w:rsidRPr="00D43409" w:rsidRDefault="00C032FD"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Direct stimulation via inflammatory disease </w:t>
      </w:r>
    </w:p>
    <w:p w14:paraId="5F0F8858" w14:textId="75D5B355" w:rsidR="00C032FD" w:rsidRPr="00D43409" w:rsidRDefault="00C032FD"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Psychogenic stimulation via fear, stress etc.</w:t>
      </w:r>
    </w:p>
    <w:p w14:paraId="63600611" w14:textId="775F6A33" w:rsidR="00C032FD" w:rsidRPr="00D43409" w:rsidRDefault="00C032FD" w:rsidP="006F6801">
      <w:pPr>
        <w:pStyle w:val="ListParagraph"/>
        <w:numPr>
          <w:ilvl w:val="1"/>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Traumatic stimulation via TBI, increased intracranial pressure </w:t>
      </w:r>
    </w:p>
    <w:p w14:paraId="3998FAC0" w14:textId="77777777" w:rsidR="00F73B7B" w:rsidRPr="00D43409" w:rsidRDefault="00F73B7B"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Causes of Vomiting </w:t>
      </w:r>
    </w:p>
    <w:p w14:paraId="441C5523" w14:textId="69022E99" w:rsidR="00AF56CD" w:rsidRPr="00D43409" w:rsidRDefault="00AF56CD" w:rsidP="006F6801">
      <w:pPr>
        <w:pStyle w:val="ListParagraph"/>
        <w:numPr>
          <w:ilvl w:val="0"/>
          <w:numId w:val="3"/>
        </w:numPr>
        <w:spacing w:line="360" w:lineRule="auto"/>
        <w:rPr>
          <w:rFonts w:ascii="Calibri" w:hAnsi="Calibri" w:cs="Calibri"/>
          <w:sz w:val="22"/>
          <w:szCs w:val="22"/>
          <w:lang w:val="en-US"/>
        </w:rPr>
      </w:pPr>
      <w:r w:rsidRPr="00D43409">
        <w:rPr>
          <w:rFonts w:ascii="Calibri" w:hAnsi="Calibri" w:cs="Calibri"/>
          <w:sz w:val="22"/>
          <w:szCs w:val="22"/>
          <w:lang w:val="en-US"/>
        </w:rPr>
        <w:t>Primary GI: dietary indiscretion, mechanical obstruction, gastritis/gastric ulceration</w:t>
      </w:r>
      <w:r w:rsidR="00016D15" w:rsidRPr="00D43409">
        <w:rPr>
          <w:rFonts w:ascii="Calibri" w:hAnsi="Calibri" w:cs="Calibri"/>
          <w:sz w:val="22"/>
          <w:szCs w:val="22"/>
          <w:lang w:val="en-US"/>
        </w:rPr>
        <w:t xml:space="preserve">, endoparasites, infectious gastroenteritis, inflammatory bowel disease </w:t>
      </w:r>
    </w:p>
    <w:p w14:paraId="54965607" w14:textId="03D221FE" w:rsidR="00EC720B" w:rsidRPr="00D43409" w:rsidRDefault="00AF56CD" w:rsidP="006F6801">
      <w:pPr>
        <w:pStyle w:val="ListParagraph"/>
        <w:numPr>
          <w:ilvl w:val="0"/>
          <w:numId w:val="3"/>
        </w:numPr>
        <w:spacing w:line="360" w:lineRule="auto"/>
        <w:rPr>
          <w:rFonts w:ascii="Calibri" w:hAnsi="Calibri" w:cs="Calibri"/>
          <w:sz w:val="22"/>
          <w:szCs w:val="22"/>
          <w:lang w:val="en-US"/>
        </w:rPr>
      </w:pPr>
      <w:r w:rsidRPr="00D43409">
        <w:rPr>
          <w:rFonts w:ascii="Calibri" w:hAnsi="Calibri" w:cs="Calibri"/>
          <w:sz w:val="22"/>
          <w:szCs w:val="22"/>
          <w:lang w:val="en-US"/>
        </w:rPr>
        <w:t xml:space="preserve">Secondary GI: endocrinopathies (e.g. </w:t>
      </w:r>
      <w:r w:rsidR="00BD7D89" w:rsidRPr="00D43409">
        <w:rPr>
          <w:rFonts w:ascii="Calibri" w:hAnsi="Calibri" w:cs="Calibri"/>
          <w:sz w:val="22"/>
          <w:szCs w:val="22"/>
          <w:lang w:val="en-US"/>
        </w:rPr>
        <w:t>hypoadrenocorticism</w:t>
      </w:r>
      <w:r w:rsidRPr="00D43409">
        <w:rPr>
          <w:rFonts w:ascii="Calibri" w:hAnsi="Calibri" w:cs="Calibri"/>
          <w:sz w:val="22"/>
          <w:szCs w:val="22"/>
          <w:lang w:val="en-US"/>
        </w:rPr>
        <w:t xml:space="preserve">, hypoparathyroidism), uremia, </w:t>
      </w:r>
      <w:r w:rsidR="00441510" w:rsidRPr="00D43409">
        <w:rPr>
          <w:rFonts w:ascii="Calibri" w:hAnsi="Calibri" w:cs="Calibri"/>
          <w:sz w:val="22"/>
          <w:szCs w:val="22"/>
          <w:lang w:val="en-US"/>
        </w:rPr>
        <w:t>hepatobiliary disease</w:t>
      </w:r>
      <w:r w:rsidR="00E54E4F" w:rsidRPr="00D43409">
        <w:rPr>
          <w:rFonts w:ascii="Calibri" w:hAnsi="Calibri" w:cs="Calibri"/>
          <w:sz w:val="22"/>
          <w:szCs w:val="22"/>
          <w:lang w:val="en-US"/>
        </w:rPr>
        <w:t>,</w:t>
      </w:r>
      <w:r w:rsidR="00C73521" w:rsidRPr="00D43409">
        <w:rPr>
          <w:rFonts w:ascii="Calibri" w:hAnsi="Calibri" w:cs="Calibri"/>
          <w:sz w:val="22"/>
          <w:szCs w:val="22"/>
          <w:lang w:val="en-US"/>
        </w:rPr>
        <w:t xml:space="preserve"> pancreatitis,</w:t>
      </w:r>
      <w:r w:rsidR="00D54FDD" w:rsidRPr="00D43409">
        <w:rPr>
          <w:rFonts w:ascii="Calibri" w:hAnsi="Calibri" w:cs="Calibri"/>
          <w:sz w:val="22"/>
          <w:szCs w:val="22"/>
          <w:lang w:val="en-US"/>
        </w:rPr>
        <w:t xml:space="preserve"> urogenital disease </w:t>
      </w:r>
      <w:r w:rsidR="00D0193B" w:rsidRPr="00D43409">
        <w:rPr>
          <w:rFonts w:ascii="Calibri" w:hAnsi="Calibri" w:cs="Calibri"/>
          <w:sz w:val="22"/>
          <w:szCs w:val="22"/>
          <w:lang w:val="en-US"/>
        </w:rPr>
        <w:t>(e.g. pyometra),</w:t>
      </w:r>
      <w:r w:rsidR="00E54E4F" w:rsidRPr="00D43409">
        <w:rPr>
          <w:rFonts w:ascii="Calibri" w:hAnsi="Calibri" w:cs="Calibri"/>
          <w:sz w:val="22"/>
          <w:szCs w:val="22"/>
          <w:lang w:val="en-US"/>
        </w:rPr>
        <w:t xml:space="preserve"> vestibular disease</w:t>
      </w:r>
      <w:r w:rsidR="00ED4A45" w:rsidRPr="00D43409">
        <w:rPr>
          <w:rFonts w:ascii="Calibri" w:hAnsi="Calibri" w:cs="Calibri"/>
          <w:sz w:val="22"/>
          <w:szCs w:val="22"/>
          <w:lang w:val="en-US"/>
        </w:rPr>
        <w:t>, toxins/chemicals/chemotherapy</w:t>
      </w:r>
      <w:r w:rsidR="00A93E5D" w:rsidRPr="00D43409">
        <w:rPr>
          <w:rFonts w:ascii="Calibri" w:hAnsi="Calibri" w:cs="Calibri"/>
          <w:sz w:val="22"/>
          <w:szCs w:val="22"/>
          <w:lang w:val="en-US"/>
        </w:rPr>
        <w:t xml:space="preserve">, pericardial effusion reported </w:t>
      </w:r>
      <w:r w:rsidR="00ED4A45" w:rsidRPr="00D43409">
        <w:rPr>
          <w:rFonts w:ascii="Calibri" w:hAnsi="Calibri" w:cs="Calibri"/>
          <w:sz w:val="22"/>
          <w:szCs w:val="22"/>
          <w:lang w:val="en-US"/>
        </w:rPr>
        <w:t xml:space="preserve"> </w:t>
      </w:r>
    </w:p>
    <w:p w14:paraId="5607201A" w14:textId="7DF74A65" w:rsidR="004B3671" w:rsidRPr="00D43409" w:rsidRDefault="004B3671" w:rsidP="006F6801">
      <w:pPr>
        <w:pStyle w:val="ListParagraph"/>
        <w:numPr>
          <w:ilvl w:val="0"/>
          <w:numId w:val="3"/>
        </w:numPr>
        <w:spacing w:line="360" w:lineRule="auto"/>
        <w:rPr>
          <w:rFonts w:ascii="Calibri" w:hAnsi="Calibri" w:cs="Calibri"/>
          <w:sz w:val="22"/>
          <w:szCs w:val="22"/>
          <w:lang w:val="en-US"/>
        </w:rPr>
      </w:pPr>
      <w:r w:rsidRPr="00D43409">
        <w:rPr>
          <w:rFonts w:ascii="Calibri" w:hAnsi="Calibri" w:cs="Calibri"/>
          <w:sz w:val="22"/>
          <w:szCs w:val="22"/>
          <w:lang w:val="en-US"/>
        </w:rPr>
        <w:t>Drugs: apomorphi</w:t>
      </w:r>
      <w:r w:rsidR="000E6688" w:rsidRPr="00D43409">
        <w:rPr>
          <w:rFonts w:ascii="Calibri" w:hAnsi="Calibri" w:cs="Calibri"/>
          <w:sz w:val="22"/>
          <w:szCs w:val="22"/>
          <w:lang w:val="en-US"/>
        </w:rPr>
        <w:t>ne (canine), alpha 2 agonists</w:t>
      </w:r>
      <w:r w:rsidRPr="00D43409">
        <w:rPr>
          <w:rFonts w:ascii="Calibri" w:hAnsi="Calibri" w:cs="Calibri"/>
          <w:sz w:val="22"/>
          <w:szCs w:val="22"/>
          <w:lang w:val="en-US"/>
        </w:rPr>
        <w:t xml:space="preserve"> (feline), prostaglandins etc. </w:t>
      </w:r>
    </w:p>
    <w:p w14:paraId="266F3E75" w14:textId="1A1C6697" w:rsidR="00B93CEA" w:rsidRPr="00D43409" w:rsidRDefault="006C435D" w:rsidP="006F6801">
      <w:pPr>
        <w:spacing w:line="360" w:lineRule="auto"/>
        <w:rPr>
          <w:rFonts w:ascii="Calibri" w:hAnsi="Calibri" w:cs="Calibri"/>
          <w:sz w:val="22"/>
          <w:szCs w:val="22"/>
          <w:lang w:val="en-US"/>
        </w:rPr>
      </w:pPr>
      <w:r w:rsidRPr="00D43409">
        <w:rPr>
          <w:rFonts w:ascii="Calibri" w:hAnsi="Calibri" w:cs="Calibri"/>
          <w:sz w:val="22"/>
          <w:szCs w:val="22"/>
          <w:lang w:val="en-US"/>
        </w:rPr>
        <w:t>Vomiting/</w:t>
      </w:r>
      <w:r w:rsidR="00EC720B" w:rsidRPr="00D43409">
        <w:rPr>
          <w:rFonts w:ascii="Calibri" w:hAnsi="Calibri" w:cs="Calibri"/>
          <w:sz w:val="22"/>
          <w:szCs w:val="22"/>
          <w:lang w:val="en-US"/>
        </w:rPr>
        <w:t xml:space="preserve">Emetic Reflex </w:t>
      </w:r>
    </w:p>
    <w:p w14:paraId="3F8C2AD7" w14:textId="4AC7E12A" w:rsidR="00801141" w:rsidRPr="00D43409" w:rsidRDefault="0080114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Can be trigg</w:t>
      </w:r>
      <w:r w:rsidR="0017715E">
        <w:rPr>
          <w:rFonts w:ascii="Calibri" w:hAnsi="Calibri" w:cs="Calibri"/>
          <w:sz w:val="22"/>
          <w:szCs w:val="22"/>
          <w:lang w:val="en-US"/>
        </w:rPr>
        <w:t>ered peripherally and</w:t>
      </w:r>
      <w:r w:rsidRPr="00D43409">
        <w:rPr>
          <w:rFonts w:ascii="Calibri" w:hAnsi="Calibri" w:cs="Calibri"/>
          <w:sz w:val="22"/>
          <w:szCs w:val="22"/>
          <w:lang w:val="en-US"/>
        </w:rPr>
        <w:t xml:space="preserve"> centrally by the emetic </w:t>
      </w:r>
      <w:r w:rsidR="003F65B8" w:rsidRPr="00D43409">
        <w:rPr>
          <w:rFonts w:ascii="Calibri" w:hAnsi="Calibri" w:cs="Calibri"/>
          <w:sz w:val="22"/>
          <w:szCs w:val="22"/>
          <w:lang w:val="en-US"/>
        </w:rPr>
        <w:t>center</w:t>
      </w:r>
      <w:r w:rsidRPr="00D43409">
        <w:rPr>
          <w:rFonts w:ascii="Calibri" w:hAnsi="Calibri" w:cs="Calibri"/>
          <w:sz w:val="22"/>
          <w:szCs w:val="22"/>
          <w:lang w:val="en-US"/>
        </w:rPr>
        <w:t xml:space="preserve">. </w:t>
      </w:r>
    </w:p>
    <w:p w14:paraId="358880B4" w14:textId="32E111E2" w:rsidR="00624A6A" w:rsidRPr="00D43409" w:rsidRDefault="00624A6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Efferent nerves:  vagal and phrenic nerve</w:t>
      </w:r>
      <w:r w:rsidR="00BB4B33" w:rsidRPr="00D43409">
        <w:rPr>
          <w:rFonts w:ascii="Calibri" w:hAnsi="Calibri" w:cs="Calibri"/>
          <w:sz w:val="22"/>
          <w:szCs w:val="22"/>
          <w:lang w:val="en-US"/>
        </w:rPr>
        <w:t>s</w:t>
      </w:r>
      <w:r w:rsidRPr="00D43409">
        <w:rPr>
          <w:rFonts w:ascii="Calibri" w:hAnsi="Calibri" w:cs="Calibri"/>
          <w:sz w:val="22"/>
          <w:szCs w:val="22"/>
          <w:lang w:val="en-US"/>
        </w:rPr>
        <w:t>, parasympathetic nerves to the salivary glands, somatic motor nerve to abdominal muscles</w:t>
      </w:r>
    </w:p>
    <w:p w14:paraId="14BBE845" w14:textId="56E5029F" w:rsidR="00EC720B" w:rsidRPr="00D43409" w:rsidRDefault="00A1221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3 phases:</w:t>
      </w:r>
      <w:r w:rsidR="00EC720B" w:rsidRPr="00D43409">
        <w:rPr>
          <w:rFonts w:ascii="Calibri" w:hAnsi="Calibri" w:cs="Calibri"/>
          <w:noProof/>
          <w:sz w:val="22"/>
          <w:szCs w:val="22"/>
          <w:lang w:val="en-US"/>
        </w:rPr>
        <w:drawing>
          <wp:inline distT="0" distB="0" distL="0" distR="0" wp14:anchorId="01162AC2" wp14:editId="343323B2">
            <wp:extent cx="5253413" cy="38775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60075" cy="3882436"/>
                    </a:xfrm>
                    <a:prstGeom prst="rect">
                      <a:avLst/>
                    </a:prstGeom>
                  </pic:spPr>
                </pic:pic>
              </a:graphicData>
            </a:graphic>
          </wp:inline>
        </w:drawing>
      </w:r>
    </w:p>
    <w:p w14:paraId="07CA69C6" w14:textId="77777777" w:rsidR="00B93CEA" w:rsidRPr="00D43409" w:rsidRDefault="00B93CEA"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Complications </w:t>
      </w:r>
    </w:p>
    <w:p w14:paraId="2B9CFCA8" w14:textId="12F833BB" w:rsidR="00EE2211" w:rsidRPr="00D43409" w:rsidRDefault="00EE221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Nausea and loss of appetite, which overtime can lead to malnutrition</w:t>
      </w:r>
    </w:p>
    <w:p w14:paraId="688A0BEB" w14:textId="5E0DD4E1" w:rsidR="00EE2211" w:rsidRPr="00D43409" w:rsidRDefault="00EE221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Persistent vomiting can cause loss of GI fluid and electrolytes, leading to dehydration, hypovolemia, acid-base and electrolyte disturbances </w:t>
      </w:r>
    </w:p>
    <w:p w14:paraId="47BAA30C" w14:textId="654ED612" w:rsidR="00EE2211" w:rsidRPr="00D43409" w:rsidRDefault="00EE221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Aspiration </w:t>
      </w:r>
      <w:r w:rsidR="00094AD8" w:rsidRPr="00D43409">
        <w:rPr>
          <w:rFonts w:ascii="Calibri" w:hAnsi="Calibri" w:cs="Calibri"/>
          <w:sz w:val="22"/>
          <w:szCs w:val="22"/>
          <w:lang w:val="en-US"/>
        </w:rPr>
        <w:t>pneumonia</w:t>
      </w:r>
    </w:p>
    <w:p w14:paraId="7B488813" w14:textId="56D30830" w:rsidR="00B93CEA" w:rsidRPr="00D43409" w:rsidRDefault="00B93CEA" w:rsidP="006F6801">
      <w:pPr>
        <w:spacing w:line="360" w:lineRule="auto"/>
        <w:rPr>
          <w:rFonts w:ascii="Calibri" w:hAnsi="Calibri" w:cs="Calibri"/>
          <w:sz w:val="22"/>
          <w:szCs w:val="22"/>
          <w:lang w:val="en-US"/>
        </w:rPr>
      </w:pPr>
      <w:r w:rsidRPr="00D43409">
        <w:rPr>
          <w:rFonts w:ascii="Calibri" w:hAnsi="Calibri" w:cs="Calibri"/>
          <w:sz w:val="22"/>
          <w:szCs w:val="22"/>
          <w:lang w:val="en-US"/>
        </w:rPr>
        <w:t>C</w:t>
      </w:r>
      <w:r w:rsidR="002D36E8" w:rsidRPr="00D43409">
        <w:rPr>
          <w:rFonts w:ascii="Calibri" w:hAnsi="Calibri" w:cs="Calibri"/>
          <w:sz w:val="22"/>
          <w:szCs w:val="22"/>
          <w:lang w:val="en-US"/>
        </w:rPr>
        <w:t xml:space="preserve">linical Assessment </w:t>
      </w:r>
    </w:p>
    <w:p w14:paraId="4AFCA4DF" w14:textId="567E77A7" w:rsidR="00DB427C" w:rsidRPr="00D43409" w:rsidRDefault="00DB427C"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Distinguishing between vomiting and regurgitation is important as etiology different </w:t>
      </w:r>
    </w:p>
    <w:p w14:paraId="78EDF96B" w14:textId="378A60B1" w:rsidR="002D36E8" w:rsidRPr="00D43409" w:rsidRDefault="00562CF7"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Signalment</w:t>
      </w:r>
      <w:r w:rsidR="002D36E8" w:rsidRPr="00D43409">
        <w:rPr>
          <w:rFonts w:ascii="Calibri" w:hAnsi="Calibri" w:cs="Calibri"/>
          <w:sz w:val="22"/>
          <w:szCs w:val="22"/>
          <w:lang w:val="en-US"/>
        </w:rPr>
        <w:t xml:space="preserve"> may help narrow down differentials </w:t>
      </w:r>
    </w:p>
    <w:p w14:paraId="2899351E" w14:textId="5D70AAC6" w:rsidR="00B93CEA" w:rsidRPr="00D43409" w:rsidRDefault="00B93CEA" w:rsidP="006F6801">
      <w:pPr>
        <w:spacing w:line="360" w:lineRule="auto"/>
        <w:rPr>
          <w:rFonts w:ascii="Calibri" w:hAnsi="Calibri" w:cs="Calibri"/>
          <w:sz w:val="22"/>
          <w:szCs w:val="22"/>
          <w:lang w:val="en-US"/>
        </w:rPr>
      </w:pPr>
      <w:r w:rsidRPr="00D43409">
        <w:rPr>
          <w:rFonts w:ascii="Calibri" w:hAnsi="Calibri" w:cs="Calibri"/>
          <w:sz w:val="22"/>
          <w:szCs w:val="22"/>
          <w:lang w:val="en-US"/>
        </w:rPr>
        <w:t>D</w:t>
      </w:r>
      <w:r w:rsidR="00A107B8" w:rsidRPr="00D43409">
        <w:rPr>
          <w:rFonts w:ascii="Calibri" w:hAnsi="Calibri" w:cs="Calibri"/>
          <w:sz w:val="22"/>
          <w:szCs w:val="22"/>
          <w:lang w:val="en-US"/>
        </w:rPr>
        <w:t xml:space="preserve">iagnostic Approach </w:t>
      </w:r>
    </w:p>
    <w:p w14:paraId="52AC2B75" w14:textId="2A7F5775" w:rsidR="00562CF7" w:rsidRPr="00D43409" w:rsidRDefault="004F1F3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Acute gastritis is a misnomer that is commonly used in acute, self-limiting emesis.  Has no basis as gastric inflammation not often </w:t>
      </w:r>
      <w:r w:rsidR="008F1707" w:rsidRPr="00D43409">
        <w:rPr>
          <w:rFonts w:ascii="Calibri" w:hAnsi="Calibri" w:cs="Calibri"/>
          <w:sz w:val="22"/>
          <w:szCs w:val="22"/>
          <w:lang w:val="en-US"/>
        </w:rPr>
        <w:t xml:space="preserve">proved by histopathology </w:t>
      </w:r>
    </w:p>
    <w:p w14:paraId="4088BF10" w14:textId="5916928A" w:rsidR="00FA372F" w:rsidRPr="00D43409" w:rsidRDefault="00FA372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In the UK, a study showed at 95% of dogs with emesis do not present to a veterinarian </w:t>
      </w:r>
    </w:p>
    <w:p w14:paraId="18978F40" w14:textId="4F5CE553" w:rsidR="00B93CEA" w:rsidRPr="00D43409" w:rsidRDefault="00B93CEA" w:rsidP="006F6801">
      <w:pPr>
        <w:tabs>
          <w:tab w:val="left" w:pos="4120"/>
        </w:tabs>
        <w:spacing w:line="360" w:lineRule="auto"/>
        <w:rPr>
          <w:rFonts w:ascii="Calibri" w:hAnsi="Calibri" w:cs="Calibri"/>
          <w:sz w:val="22"/>
          <w:szCs w:val="22"/>
          <w:lang w:val="en-US"/>
        </w:rPr>
      </w:pPr>
      <w:r w:rsidRPr="00D43409">
        <w:rPr>
          <w:rFonts w:ascii="Calibri" w:hAnsi="Calibri" w:cs="Calibri"/>
          <w:sz w:val="22"/>
          <w:szCs w:val="22"/>
          <w:lang w:val="en-US"/>
        </w:rPr>
        <w:t xml:space="preserve">Treatments </w:t>
      </w:r>
    </w:p>
    <w:p w14:paraId="2425BBC4" w14:textId="1B189EFD" w:rsidR="003D368A" w:rsidRPr="00D43409" w:rsidRDefault="00516ED1" w:rsidP="006F6801">
      <w:pPr>
        <w:pStyle w:val="ListParagraph"/>
        <w:numPr>
          <w:ilvl w:val="0"/>
          <w:numId w:val="2"/>
        </w:numPr>
        <w:tabs>
          <w:tab w:val="left" w:pos="4120"/>
        </w:tabs>
        <w:spacing w:line="360" w:lineRule="auto"/>
        <w:rPr>
          <w:rFonts w:ascii="Calibri" w:hAnsi="Calibri" w:cs="Calibri"/>
          <w:sz w:val="22"/>
          <w:szCs w:val="22"/>
          <w:lang w:val="en-US"/>
        </w:rPr>
      </w:pPr>
      <w:r w:rsidRPr="00D43409">
        <w:rPr>
          <w:rFonts w:ascii="Calibri" w:hAnsi="Calibri" w:cs="Calibri"/>
          <w:sz w:val="22"/>
          <w:szCs w:val="22"/>
          <w:lang w:val="en-US"/>
        </w:rPr>
        <w:t xml:space="preserve">Fluid and electrolyte therapy to correct dehydration, acid-base and electrolyte disturbances </w:t>
      </w:r>
    </w:p>
    <w:p w14:paraId="1A97FF1E" w14:textId="5F146778" w:rsidR="00516ED1" w:rsidRPr="00D43409" w:rsidRDefault="00DB7018" w:rsidP="006F6801">
      <w:pPr>
        <w:pStyle w:val="ListParagraph"/>
        <w:numPr>
          <w:ilvl w:val="0"/>
          <w:numId w:val="2"/>
        </w:numPr>
        <w:tabs>
          <w:tab w:val="left" w:pos="4120"/>
        </w:tabs>
        <w:spacing w:line="360" w:lineRule="auto"/>
        <w:rPr>
          <w:rFonts w:ascii="Calibri" w:hAnsi="Calibri" w:cs="Calibri"/>
          <w:sz w:val="22"/>
          <w:szCs w:val="22"/>
          <w:lang w:val="en-US"/>
        </w:rPr>
      </w:pPr>
      <w:r w:rsidRPr="00D43409">
        <w:rPr>
          <w:rFonts w:ascii="Calibri" w:hAnsi="Calibri" w:cs="Calibri"/>
          <w:sz w:val="22"/>
          <w:szCs w:val="22"/>
          <w:lang w:val="en-US"/>
        </w:rPr>
        <w:t xml:space="preserve">Giving anti-emetic may run the risk of masking significant clinical signs, delay in diagnosis, could be harmful if it is a prokinetic when there is a foreign body obstruction </w:t>
      </w:r>
    </w:p>
    <w:p w14:paraId="095F4B71" w14:textId="219B8C73" w:rsidR="00CF351F" w:rsidRPr="00D43409" w:rsidRDefault="00CF351F" w:rsidP="006F6801">
      <w:pPr>
        <w:spacing w:line="360" w:lineRule="auto"/>
        <w:rPr>
          <w:rFonts w:ascii="Calibri" w:hAnsi="Calibri" w:cs="Calibri"/>
          <w:sz w:val="22"/>
          <w:szCs w:val="22"/>
          <w:lang w:val="en-US"/>
        </w:rPr>
      </w:pPr>
      <w:r w:rsidRPr="00D43409">
        <w:rPr>
          <w:rFonts w:ascii="Calibri" w:hAnsi="Calibri" w:cs="Calibri"/>
          <w:sz w:val="22"/>
          <w:szCs w:val="22"/>
          <w:lang w:val="en-US"/>
        </w:rPr>
        <w:lastRenderedPageBreak/>
        <w:t>A</w:t>
      </w:r>
      <w:r w:rsidR="00002C4D" w:rsidRPr="00D43409">
        <w:rPr>
          <w:rFonts w:ascii="Calibri" w:hAnsi="Calibri" w:cs="Calibri"/>
          <w:sz w:val="22"/>
          <w:szCs w:val="22"/>
          <w:lang w:val="en-US"/>
        </w:rPr>
        <w:t>nti</w:t>
      </w:r>
      <w:r w:rsidRPr="00D43409">
        <w:rPr>
          <w:rFonts w:ascii="Calibri" w:hAnsi="Calibri" w:cs="Calibri"/>
          <w:sz w:val="22"/>
          <w:szCs w:val="22"/>
          <w:lang w:val="en-US"/>
        </w:rPr>
        <w:t>emetics</w:t>
      </w:r>
    </w:p>
    <w:p w14:paraId="6884BB13" w14:textId="46C200C0" w:rsidR="004959F2" w:rsidRPr="00D43409" w:rsidRDefault="00002C4D"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Ideal antiemetic: prevent both centra</w:t>
      </w:r>
      <w:r w:rsidR="00744549" w:rsidRPr="00D43409">
        <w:rPr>
          <w:rFonts w:ascii="Calibri" w:hAnsi="Calibri" w:cs="Calibri"/>
          <w:sz w:val="22"/>
          <w:szCs w:val="22"/>
          <w:lang w:val="en-US"/>
        </w:rPr>
        <w:t xml:space="preserve">l &amp; peripheral stimuli, minimal </w:t>
      </w:r>
      <w:r w:rsidRPr="00D43409">
        <w:rPr>
          <w:rFonts w:ascii="Calibri" w:hAnsi="Calibri" w:cs="Calibri"/>
          <w:sz w:val="22"/>
          <w:szCs w:val="22"/>
          <w:lang w:val="en-US"/>
        </w:rPr>
        <w:t xml:space="preserve">cardiovascular effect, </w:t>
      </w:r>
      <w:r w:rsidR="00744549" w:rsidRPr="00D43409">
        <w:rPr>
          <w:rFonts w:ascii="Calibri" w:hAnsi="Calibri" w:cs="Calibri"/>
          <w:sz w:val="22"/>
          <w:szCs w:val="22"/>
          <w:lang w:val="en-US"/>
        </w:rPr>
        <w:t xml:space="preserve">wide therapeutic index, minimal </w:t>
      </w:r>
      <w:r w:rsidR="007F7CAD" w:rsidRPr="00D43409">
        <w:rPr>
          <w:rFonts w:ascii="Calibri" w:hAnsi="Calibri" w:cs="Calibri"/>
          <w:sz w:val="22"/>
          <w:szCs w:val="22"/>
          <w:lang w:val="en-US"/>
        </w:rPr>
        <w:t xml:space="preserve">CNS side effects, absent prokinetic effect </w:t>
      </w:r>
      <w:r w:rsidR="00744549" w:rsidRPr="00D43409">
        <w:rPr>
          <w:rFonts w:ascii="Calibri" w:hAnsi="Calibri" w:cs="Calibri"/>
          <w:sz w:val="22"/>
          <w:szCs w:val="22"/>
          <w:lang w:val="en-US"/>
        </w:rPr>
        <w:t xml:space="preserve"> </w:t>
      </w:r>
    </w:p>
    <w:p w14:paraId="1BA39387" w14:textId="1A72275A" w:rsidR="00920AC1" w:rsidRPr="00D43409" w:rsidRDefault="00CB54C4"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t>Neurokinin-1 (NK-1) receptor antagonists</w:t>
      </w:r>
      <w:r w:rsidR="009356FD" w:rsidRPr="00D43409">
        <w:rPr>
          <w:rFonts w:ascii="Calibri" w:hAnsi="Calibri" w:cs="Calibri"/>
          <w:b/>
          <w:sz w:val="22"/>
          <w:szCs w:val="22"/>
          <w:lang w:val="en-US"/>
        </w:rPr>
        <w:t>: Maropitant</w:t>
      </w:r>
    </w:p>
    <w:p w14:paraId="34A837EC" w14:textId="7ABDB1AB" w:rsidR="00734BC3" w:rsidRPr="00D43409" w:rsidRDefault="009356FD"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Blocks action of substance P in the CNS as well as peripheral NK-1 receptor in GIT </w:t>
      </w:r>
    </w:p>
    <w:p w14:paraId="0E748817" w14:textId="4F491518" w:rsidR="00D96590" w:rsidRPr="00D43409" w:rsidRDefault="00D96590"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Dose: 1mg/kg SQ</w:t>
      </w:r>
      <w:r w:rsidR="00FB3C6F">
        <w:rPr>
          <w:rFonts w:ascii="Calibri" w:hAnsi="Calibri" w:cs="Calibri"/>
          <w:sz w:val="22"/>
          <w:szCs w:val="22"/>
          <w:lang w:val="en-US"/>
        </w:rPr>
        <w:t>, IV</w:t>
      </w:r>
      <w:r w:rsidRPr="00D43409">
        <w:rPr>
          <w:rFonts w:ascii="Calibri" w:hAnsi="Calibri" w:cs="Calibri"/>
          <w:sz w:val="22"/>
          <w:szCs w:val="22"/>
          <w:lang w:val="en-US"/>
        </w:rPr>
        <w:t xml:space="preserve"> or 2</w:t>
      </w:r>
      <w:r w:rsidR="00130597" w:rsidRPr="00D43409">
        <w:rPr>
          <w:rFonts w:ascii="Calibri" w:hAnsi="Calibri" w:cs="Calibri"/>
          <w:sz w:val="22"/>
          <w:szCs w:val="22"/>
          <w:lang w:val="en-US"/>
        </w:rPr>
        <w:t>mg/kg PO q24hr</w:t>
      </w:r>
    </w:p>
    <w:p w14:paraId="20B6E954" w14:textId="470ADEBA" w:rsidR="00AC4CE8" w:rsidRPr="00D43409" w:rsidRDefault="00AC4CE8"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Metabolism:</w:t>
      </w:r>
    </w:p>
    <w:p w14:paraId="2421FD9B" w14:textId="7FF6CD07" w:rsidR="00AC4CE8" w:rsidRPr="00D43409" w:rsidRDefault="00AC4CE8"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Extensive 1</w:t>
      </w:r>
      <w:r w:rsidRPr="00D43409">
        <w:rPr>
          <w:rFonts w:ascii="Calibri" w:hAnsi="Calibri" w:cs="Calibri"/>
          <w:sz w:val="22"/>
          <w:szCs w:val="22"/>
          <w:vertAlign w:val="superscript"/>
          <w:lang w:val="en-US"/>
        </w:rPr>
        <w:t>st</w:t>
      </w:r>
      <w:r w:rsidRPr="00D43409">
        <w:rPr>
          <w:rFonts w:ascii="Calibri" w:hAnsi="Calibri" w:cs="Calibri"/>
          <w:sz w:val="22"/>
          <w:szCs w:val="22"/>
          <w:lang w:val="en-US"/>
        </w:rPr>
        <w:t xml:space="preserve"> pass metabolism in the liver </w:t>
      </w:r>
    </w:p>
    <w:p w14:paraId="181BDCEA" w14:textId="298B238A" w:rsidR="00AC4CE8" w:rsidRPr="00D43409" w:rsidRDefault="00AC4CE8"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Higher bioavailability when given SQ (90%) compared to oral (23-37%)</w:t>
      </w:r>
    </w:p>
    <w:p w14:paraId="125D8A31" w14:textId="20DE78B2" w:rsidR="00AC4CE8" w:rsidRPr="00D43409" w:rsidRDefault="00AC4CE8"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Oral bioavailability not affected by feeding </w:t>
      </w:r>
    </w:p>
    <w:p w14:paraId="7C35B17C" w14:textId="5E9C61C2" w:rsidR="00634E7B" w:rsidRPr="00D43409" w:rsidRDefault="00634E7B"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Adverse effect:</w:t>
      </w:r>
    </w:p>
    <w:p w14:paraId="32E6E2ED" w14:textId="1B2DE1E3" w:rsidR="00634E7B" w:rsidRPr="00D43409" w:rsidRDefault="00634E7B"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Pain on injection</w:t>
      </w:r>
    </w:p>
    <w:p w14:paraId="1E5AC46A" w14:textId="1D184EB6" w:rsidR="00634E7B" w:rsidRPr="00D43409" w:rsidRDefault="00634E7B"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Bone marrow hypoplasia when administered to puppies &lt; 11 weeks old </w:t>
      </w:r>
    </w:p>
    <w:p w14:paraId="20ED1671" w14:textId="77777777" w:rsidR="00961C3A" w:rsidRPr="00D43409" w:rsidRDefault="00DD7447"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Use:  </w:t>
      </w:r>
    </w:p>
    <w:p w14:paraId="1AA4C28B" w14:textId="72A9FA6B" w:rsidR="00DD7447" w:rsidRPr="00D43409" w:rsidRDefault="00961C3A"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Dog: </w:t>
      </w:r>
      <w:r w:rsidR="00DD7447" w:rsidRPr="00D43409">
        <w:rPr>
          <w:rFonts w:ascii="Calibri" w:hAnsi="Calibri" w:cs="Calibri"/>
          <w:sz w:val="22"/>
          <w:szCs w:val="22"/>
          <w:lang w:val="en-US"/>
        </w:rPr>
        <w:t xml:space="preserve">vomiting secondary to </w:t>
      </w:r>
      <w:r w:rsidRPr="00D43409">
        <w:rPr>
          <w:rFonts w:ascii="Calibri" w:hAnsi="Calibri" w:cs="Calibri"/>
          <w:sz w:val="22"/>
          <w:szCs w:val="22"/>
          <w:lang w:val="en-US"/>
        </w:rPr>
        <w:t xml:space="preserve">motion sickness or </w:t>
      </w:r>
      <w:r w:rsidR="00DD7447" w:rsidRPr="00D43409">
        <w:rPr>
          <w:rFonts w:ascii="Calibri" w:hAnsi="Calibri" w:cs="Calibri"/>
          <w:sz w:val="22"/>
          <w:szCs w:val="22"/>
          <w:lang w:val="en-US"/>
        </w:rPr>
        <w:t xml:space="preserve">spontaneous illness, and nausea </w:t>
      </w:r>
      <w:r w:rsidRPr="00D43409">
        <w:rPr>
          <w:rFonts w:ascii="Calibri" w:hAnsi="Calibri" w:cs="Calibri"/>
          <w:sz w:val="22"/>
          <w:szCs w:val="22"/>
          <w:lang w:val="en-US"/>
        </w:rPr>
        <w:t>associated</w:t>
      </w:r>
      <w:r w:rsidR="00DD7447" w:rsidRPr="00D43409">
        <w:rPr>
          <w:rFonts w:ascii="Calibri" w:hAnsi="Calibri" w:cs="Calibri"/>
          <w:sz w:val="22"/>
          <w:szCs w:val="22"/>
          <w:lang w:val="en-US"/>
        </w:rPr>
        <w:t xml:space="preserve"> with chemotherapy (doxorubicin, </w:t>
      </w:r>
      <w:proofErr w:type="spellStart"/>
      <w:r w:rsidR="00DD7447" w:rsidRPr="00D43409">
        <w:rPr>
          <w:rFonts w:ascii="Calibri" w:hAnsi="Calibri" w:cs="Calibri"/>
          <w:sz w:val="22"/>
          <w:szCs w:val="22"/>
          <w:lang w:val="en-US"/>
        </w:rPr>
        <w:t>cisplatinum</w:t>
      </w:r>
      <w:proofErr w:type="spellEnd"/>
      <w:r w:rsidR="00DD7447" w:rsidRPr="00D43409">
        <w:rPr>
          <w:rFonts w:ascii="Calibri" w:hAnsi="Calibri" w:cs="Calibri"/>
          <w:sz w:val="22"/>
          <w:szCs w:val="22"/>
          <w:lang w:val="en-US"/>
        </w:rPr>
        <w:t xml:space="preserve">) </w:t>
      </w:r>
    </w:p>
    <w:p w14:paraId="7DF8D9DF" w14:textId="54091266" w:rsidR="00961C3A" w:rsidRPr="00D43409" w:rsidRDefault="00961C3A"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Cats: motion sickness, xylazine-induced emesis in cats</w:t>
      </w:r>
    </w:p>
    <w:p w14:paraId="79BBC9F4" w14:textId="623363F1" w:rsidR="00F45757" w:rsidRPr="00D43409" w:rsidRDefault="00F45757"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Thought to have many other effects – anti-inflammatory, neuroprotectant, </w:t>
      </w:r>
      <w:proofErr w:type="spellStart"/>
      <w:r w:rsidRPr="00D43409">
        <w:rPr>
          <w:rFonts w:ascii="Calibri" w:hAnsi="Calibri" w:cs="Calibri"/>
          <w:sz w:val="22"/>
          <w:szCs w:val="22"/>
          <w:lang w:val="en-US"/>
        </w:rPr>
        <w:t>hepatoprotectant</w:t>
      </w:r>
      <w:proofErr w:type="spellEnd"/>
      <w:r w:rsidRPr="00D43409">
        <w:rPr>
          <w:rFonts w:ascii="Calibri" w:hAnsi="Calibri" w:cs="Calibri"/>
          <w:sz w:val="22"/>
          <w:szCs w:val="22"/>
          <w:lang w:val="en-US"/>
        </w:rPr>
        <w:t xml:space="preserve"> – though yet to be proven </w:t>
      </w:r>
    </w:p>
    <w:p w14:paraId="07E177DD" w14:textId="6FC0002C" w:rsidR="00E07775" w:rsidRPr="00D43409" w:rsidRDefault="00E07775"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Appear to reduce visceral pain in cats and dogs and can reduce M.A.C. of sevoflurane </w:t>
      </w:r>
    </w:p>
    <w:p w14:paraId="326F158A" w14:textId="35651E2D" w:rsidR="00CB54C4" w:rsidRPr="00D43409" w:rsidRDefault="00CB54C4"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5-HT 3 Receptor Antagonists </w:t>
      </w:r>
    </w:p>
    <w:p w14:paraId="0E8DB1A9" w14:textId="25F901F6" w:rsidR="008F661F" w:rsidRPr="00D43409" w:rsidRDefault="008F661F"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Ondansetron, </w:t>
      </w:r>
      <w:proofErr w:type="spellStart"/>
      <w:r w:rsidR="001F1624" w:rsidRPr="00D43409">
        <w:rPr>
          <w:rFonts w:ascii="Calibri" w:hAnsi="Calibri" w:cs="Calibri"/>
          <w:sz w:val="22"/>
          <w:szCs w:val="22"/>
          <w:lang w:val="en-US"/>
        </w:rPr>
        <w:t>granisetron</w:t>
      </w:r>
      <w:proofErr w:type="spellEnd"/>
      <w:r w:rsidR="001F1624" w:rsidRPr="00D43409">
        <w:rPr>
          <w:rFonts w:ascii="Calibri" w:hAnsi="Calibri" w:cs="Calibri"/>
          <w:sz w:val="22"/>
          <w:szCs w:val="22"/>
          <w:lang w:val="en-US"/>
        </w:rPr>
        <w:t xml:space="preserve">, </w:t>
      </w: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xml:space="preserve"> were developed to alleviate chemotherapy-associated nausea in people</w:t>
      </w:r>
    </w:p>
    <w:p w14:paraId="62B34EFF" w14:textId="285736B0" w:rsidR="008F661F" w:rsidRPr="00D43409" w:rsidRDefault="008F661F" w:rsidP="006F6801">
      <w:pPr>
        <w:pStyle w:val="ListParagraph"/>
        <w:numPr>
          <w:ilvl w:val="0"/>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competitive blockers of serotonin (5-HT 3) receptors found peripherally </w:t>
      </w:r>
      <w:r w:rsidR="00FB3C6F">
        <w:rPr>
          <w:rFonts w:ascii="Calibri" w:hAnsi="Calibri" w:cs="Calibri"/>
          <w:sz w:val="22"/>
          <w:szCs w:val="22"/>
          <w:lang w:val="en-US"/>
        </w:rPr>
        <w:t>(intestinal vagal afferent</w:t>
      </w:r>
      <w:r w:rsidRPr="00D43409">
        <w:rPr>
          <w:rFonts w:ascii="Calibri" w:hAnsi="Calibri" w:cs="Calibri"/>
          <w:sz w:val="22"/>
          <w:szCs w:val="22"/>
          <w:lang w:val="en-US"/>
        </w:rPr>
        <w:t>) and centrally (in CRTZ, and medullary vomiting center)</w:t>
      </w:r>
    </w:p>
    <w:p w14:paraId="38E97D6A" w14:textId="2930C45D" w:rsidR="00172CC3" w:rsidRPr="00D43409" w:rsidRDefault="00172CC3"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Ondansetron: inhibit emesis in low and high dose, but enhances emesis at intermediate dosages </w:t>
      </w:r>
    </w:p>
    <w:p w14:paraId="7FD5A59C" w14:textId="63B7C551" w:rsidR="008F661F" w:rsidRPr="00D43409" w:rsidRDefault="008F661F"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Ondansetron has been anecdotally reportedly to stop vomiting effectively in patients not responding to metoclopramide or promazine treatment </w:t>
      </w:r>
    </w:p>
    <w:p w14:paraId="79511CCE" w14:textId="42E9E990" w:rsidR="00002451" w:rsidRPr="00D43409" w:rsidRDefault="00002451" w:rsidP="006F6801">
      <w:pPr>
        <w:pStyle w:val="ListParagraph"/>
        <w:numPr>
          <w:ilvl w:val="0"/>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Dolasteron</w:t>
      </w:r>
      <w:proofErr w:type="spellEnd"/>
      <w:r w:rsidRPr="00D43409">
        <w:rPr>
          <w:rFonts w:ascii="Calibri" w:hAnsi="Calibri" w:cs="Calibri"/>
          <w:sz w:val="22"/>
          <w:szCs w:val="22"/>
          <w:lang w:val="en-US"/>
        </w:rPr>
        <w:t xml:space="preserve"> reported to have excellent oral bioavailability</w:t>
      </w:r>
    </w:p>
    <w:p w14:paraId="1E4F5A9C" w14:textId="16E14BC4" w:rsidR="00BB02DC" w:rsidRPr="00D43409" w:rsidRDefault="00BB02DC"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Dose: </w:t>
      </w:r>
    </w:p>
    <w:p w14:paraId="5BA2FD6E" w14:textId="7994C3EA" w:rsidR="00BB02DC" w:rsidRPr="00D43409" w:rsidRDefault="00BB02DC"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Ondansetron 0.1-1mg/kg IV q8-12h</w:t>
      </w:r>
    </w:p>
    <w:p w14:paraId="5C2459C5" w14:textId="614E99F8" w:rsidR="00BB02DC" w:rsidRPr="00D43409" w:rsidRDefault="00BB02DC" w:rsidP="006F6801">
      <w:pPr>
        <w:pStyle w:val="ListParagraph"/>
        <w:numPr>
          <w:ilvl w:val="1"/>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xml:space="preserve"> 0.6-1mg/kg SQ, IV, PO q12-24h</w:t>
      </w:r>
    </w:p>
    <w:p w14:paraId="02A5FEE2" w14:textId="5E4CB1D0" w:rsidR="00BB02DC" w:rsidRPr="00D43409" w:rsidRDefault="00BB02DC"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lastRenderedPageBreak/>
        <w:t>The antiemetic effects of drugs linger after drug disappears from the blood, therefore only need to be given q8-24h</w:t>
      </w:r>
    </w:p>
    <w:p w14:paraId="3E371144" w14:textId="0AD4830E" w:rsidR="00507FD1" w:rsidRPr="00D43409" w:rsidRDefault="00507FD1"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Metabolism</w:t>
      </w:r>
    </w:p>
    <w:p w14:paraId="619E23E9" w14:textId="2115C30D" w:rsidR="00507FD1" w:rsidRPr="00D43409" w:rsidRDefault="00507FD1"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Ondansetron: hepatic </w:t>
      </w:r>
      <w:r w:rsidR="00FB3C6F" w:rsidRPr="00D43409">
        <w:rPr>
          <w:rFonts w:ascii="Calibri" w:hAnsi="Calibri" w:cs="Calibri"/>
          <w:sz w:val="22"/>
          <w:szCs w:val="22"/>
          <w:lang w:val="en-US"/>
        </w:rPr>
        <w:t>metabolism</w:t>
      </w:r>
      <w:r w:rsidRPr="00D43409">
        <w:rPr>
          <w:rFonts w:ascii="Calibri" w:hAnsi="Calibri" w:cs="Calibri"/>
          <w:sz w:val="22"/>
          <w:szCs w:val="22"/>
          <w:lang w:val="en-US"/>
        </w:rPr>
        <w:t xml:space="preserve"> </w:t>
      </w:r>
    </w:p>
    <w:p w14:paraId="15B468A9" w14:textId="7603AB09" w:rsidR="00507FD1" w:rsidRPr="00D43409" w:rsidRDefault="00507FD1" w:rsidP="006F6801">
      <w:pPr>
        <w:pStyle w:val="ListParagraph"/>
        <w:numPr>
          <w:ilvl w:val="1"/>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metabolized into active fraction (</w:t>
      </w:r>
      <w:proofErr w:type="spellStart"/>
      <w:r w:rsidRPr="00D43409">
        <w:rPr>
          <w:rFonts w:ascii="Calibri" w:hAnsi="Calibri" w:cs="Calibri"/>
          <w:sz w:val="22"/>
          <w:szCs w:val="22"/>
          <w:lang w:val="en-US"/>
        </w:rPr>
        <w:t>hydrodolasetron</w:t>
      </w:r>
      <w:proofErr w:type="spellEnd"/>
      <w:r w:rsidRPr="00D43409">
        <w:rPr>
          <w:rFonts w:ascii="Calibri" w:hAnsi="Calibri" w:cs="Calibri"/>
          <w:sz w:val="22"/>
          <w:szCs w:val="22"/>
          <w:lang w:val="en-US"/>
        </w:rPr>
        <w:t>), eliminated via hepatic P450 enz</w:t>
      </w:r>
      <w:r w:rsidR="003B6BE1" w:rsidRPr="00D43409">
        <w:rPr>
          <w:rFonts w:ascii="Calibri" w:hAnsi="Calibri" w:cs="Calibri"/>
          <w:sz w:val="22"/>
          <w:szCs w:val="22"/>
          <w:lang w:val="en-US"/>
        </w:rPr>
        <w:t xml:space="preserve">ymes </w:t>
      </w:r>
    </w:p>
    <w:p w14:paraId="3F4E5CD1" w14:textId="7800AFBE" w:rsidR="00BB02DC" w:rsidRPr="00D43409" w:rsidRDefault="00BB02DC"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Eliminated in the urine</w:t>
      </w:r>
    </w:p>
    <w:p w14:paraId="5806F770" w14:textId="5A4AD621" w:rsidR="00BB02DC" w:rsidRPr="00D43409" w:rsidRDefault="00413917"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xml:space="preserve"> reported to cause QT prolongation in humans, but unsure in vet med </w:t>
      </w:r>
    </w:p>
    <w:p w14:paraId="353419C6" w14:textId="040CD2C1" w:rsidR="00BB02DC" w:rsidRPr="00D43409" w:rsidRDefault="00BB02DC"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Rare adverse effect but constipation</w:t>
      </w:r>
      <w:r w:rsidR="00D814A3">
        <w:rPr>
          <w:rFonts w:ascii="Calibri" w:hAnsi="Calibri" w:cs="Calibri"/>
          <w:sz w:val="22"/>
          <w:szCs w:val="22"/>
          <w:lang w:val="en-US"/>
        </w:rPr>
        <w:t xml:space="preserve"> and diarrhea</w:t>
      </w:r>
      <w:r w:rsidR="006D4674">
        <w:rPr>
          <w:rFonts w:ascii="Calibri" w:hAnsi="Calibri" w:cs="Calibri"/>
          <w:sz w:val="22"/>
          <w:szCs w:val="22"/>
          <w:lang w:val="en-US"/>
        </w:rPr>
        <w:t xml:space="preserve"> </w:t>
      </w:r>
      <w:r w:rsidR="00AF3F0A" w:rsidRPr="00D43409">
        <w:rPr>
          <w:rFonts w:ascii="Calibri" w:hAnsi="Calibri" w:cs="Calibri"/>
          <w:sz w:val="22"/>
          <w:szCs w:val="22"/>
          <w:lang w:val="en-US"/>
        </w:rPr>
        <w:t xml:space="preserve">reported in humans </w:t>
      </w:r>
    </w:p>
    <w:p w14:paraId="654E7B21" w14:textId="1C5AD2B0" w:rsidR="00CE03D6" w:rsidRPr="00D43409" w:rsidRDefault="00CE03D6"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Ondansetron reported to decrease efficacy of tramadol </w:t>
      </w:r>
    </w:p>
    <w:p w14:paraId="22B202F8" w14:textId="2228ACC7" w:rsidR="00237409" w:rsidRPr="00D43409" w:rsidRDefault="00237409"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xml:space="preserve"> + metoclopramide effective for chemotherapy-induced nausea that is resistant to other antiemetics </w:t>
      </w:r>
    </w:p>
    <w:p w14:paraId="096A78EC" w14:textId="2566B81C" w:rsidR="00E9007E" w:rsidRPr="00D43409" w:rsidRDefault="00E9007E"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Metoclopramide </w:t>
      </w:r>
    </w:p>
    <w:p w14:paraId="6C8A558F" w14:textId="6DD0441D" w:rsidR="00141781" w:rsidRPr="00D43409" w:rsidRDefault="0014178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Antidopaminergic and 5-HT3 receptor antagonist = potent blocker of CRTZ </w:t>
      </w:r>
    </w:p>
    <w:p w14:paraId="50CADDDD" w14:textId="7AFDEF0E" w:rsidR="009B1D72" w:rsidRPr="00D43409" w:rsidRDefault="009B1D72"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Antiemetic dose: 0.1-0.5mg/kg IV, SQ, PO </w:t>
      </w:r>
      <w:r w:rsidR="006D4674">
        <w:rPr>
          <w:rFonts w:ascii="Calibri" w:hAnsi="Calibri" w:cs="Calibri"/>
          <w:sz w:val="22"/>
          <w:szCs w:val="22"/>
          <w:lang w:val="en-US"/>
        </w:rPr>
        <w:t>q8hr</w:t>
      </w:r>
    </w:p>
    <w:p w14:paraId="0E27986E" w14:textId="79A0BCF1" w:rsidR="009B1D72" w:rsidRPr="00D43409" w:rsidRDefault="009B1D7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Higher dose for gastric prokinetic action </w:t>
      </w:r>
    </w:p>
    <w:p w14:paraId="72F085FB" w14:textId="1DA2D204" w:rsidR="001A051A" w:rsidRPr="00D43409" w:rsidRDefault="001A051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Often inadequate as a sole antiemetic for patient with strong stimulus to vomit (e.g. severe pancreatitis, renal failure)</w:t>
      </w:r>
    </w:p>
    <w:p w14:paraId="3A099B97" w14:textId="0FE33D80" w:rsidR="001A051A" w:rsidRPr="00D43409" w:rsidRDefault="001A051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Effectiveness can be improved as a CRI</w:t>
      </w:r>
    </w:p>
    <w:p w14:paraId="0A5F94FC" w14:textId="0682696A" w:rsidR="001A051A" w:rsidRPr="00D43409" w:rsidRDefault="001A051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IV solution is light sensitive </w:t>
      </w:r>
    </w:p>
    <w:p w14:paraId="0F7349C5" w14:textId="7C900F17" w:rsidR="0009701B" w:rsidRPr="00D43409" w:rsidRDefault="0009701B"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Care in using Metoclopramide in patient with decreased GFR as it is excreted by the kidneys </w:t>
      </w:r>
    </w:p>
    <w:p w14:paraId="54ADAA2F" w14:textId="735FBA71" w:rsidR="00E9007E" w:rsidRPr="00D43409" w:rsidRDefault="00E9007E"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Promazine Derivatives </w:t>
      </w:r>
    </w:p>
    <w:p w14:paraId="3A9AFF84" w14:textId="6D8DAA5F" w:rsidR="009455A7" w:rsidRPr="00D43409" w:rsidRDefault="009455A7"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Broad-spectrum, inexpensive, centrally acting antiemetic </w:t>
      </w:r>
    </w:p>
    <w:p w14:paraId="3B41A1B5" w14:textId="7FC1855F" w:rsidR="001D1DAD" w:rsidRPr="00D43409" w:rsidRDefault="001D1DAD" w:rsidP="006F6801">
      <w:pPr>
        <w:pStyle w:val="ListParagraph"/>
        <w:numPr>
          <w:ilvl w:val="0"/>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antidopaminergic and antihistamine effects that block CRTZ, high dose blocks MVC</w:t>
      </w:r>
    </w:p>
    <w:p w14:paraId="5FE56E33" w14:textId="1483262D" w:rsidR="001D1DAD" w:rsidRPr="00D43409" w:rsidRDefault="001D1DAD"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Also have anticholinergic, antispasmodic, and a-adrenergic blocking effects </w:t>
      </w:r>
    </w:p>
    <w:p w14:paraId="092611BD" w14:textId="4BF76034" w:rsidR="001D1DAD" w:rsidRPr="00D43409" w:rsidRDefault="001D1DAD"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Chlorpromazine, prochlorperazine, and acepromazine most commonly used</w:t>
      </w:r>
    </w:p>
    <w:p w14:paraId="1E1FFB46" w14:textId="6C0EC997" w:rsidR="001D1DAD" w:rsidRPr="00D43409" w:rsidRDefault="001D1DAD"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Dose:</w:t>
      </w:r>
    </w:p>
    <w:p w14:paraId="6C32986F" w14:textId="0360742D" w:rsidR="001D1DAD" w:rsidRPr="00D43409" w:rsidRDefault="001D1DAD"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Chlorpromazine: 0.1-0.5 mg/kg IV, SQ, IM q6-8h</w:t>
      </w:r>
    </w:p>
    <w:p w14:paraId="78663086" w14:textId="568E3FDF" w:rsidR="001D1DAD" w:rsidRPr="00D43409" w:rsidRDefault="001D1DAD"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Prochlorperazine 0.1-0.5mg/kg IV, IM, SQ, q8-12h</w:t>
      </w:r>
    </w:p>
    <w:p w14:paraId="1EA34684" w14:textId="78D4F7D0" w:rsidR="00566A41" w:rsidRPr="00D43409" w:rsidRDefault="00566A41" w:rsidP="006F6801">
      <w:pPr>
        <w:pStyle w:val="ListParagraph"/>
        <w:numPr>
          <w:ilvl w:val="1"/>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Antiemetic dose &lt;&lt;&lt; sedative dose </w:t>
      </w:r>
    </w:p>
    <w:p w14:paraId="12F52744" w14:textId="6534F2C8" w:rsidR="009F79FF" w:rsidRPr="00D43409" w:rsidRDefault="009F79FF"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Adverse effect:</w:t>
      </w:r>
      <w:r w:rsidR="00072F82" w:rsidRPr="00D43409">
        <w:rPr>
          <w:rFonts w:ascii="Calibri" w:hAnsi="Calibri" w:cs="Calibri"/>
          <w:b/>
          <w:sz w:val="22"/>
          <w:szCs w:val="22"/>
          <w:lang w:val="en-US"/>
        </w:rPr>
        <w:t xml:space="preserve"> </w:t>
      </w:r>
      <w:r w:rsidR="00072F82" w:rsidRPr="00D43409">
        <w:rPr>
          <w:rFonts w:ascii="Calibri" w:hAnsi="Calibri" w:cs="Calibri"/>
          <w:sz w:val="22"/>
          <w:szCs w:val="22"/>
          <w:lang w:val="en-US"/>
        </w:rPr>
        <w:t>s</w:t>
      </w:r>
      <w:r w:rsidRPr="00D43409">
        <w:rPr>
          <w:rFonts w:ascii="Calibri" w:hAnsi="Calibri" w:cs="Calibri"/>
          <w:sz w:val="22"/>
          <w:szCs w:val="22"/>
          <w:lang w:val="en-US"/>
        </w:rPr>
        <w:t>edation</w:t>
      </w:r>
      <w:r w:rsidR="00072F82" w:rsidRPr="00D43409">
        <w:rPr>
          <w:rFonts w:ascii="Calibri" w:hAnsi="Calibri" w:cs="Calibri"/>
          <w:sz w:val="22"/>
          <w:szCs w:val="22"/>
          <w:lang w:val="en-US"/>
        </w:rPr>
        <w:t>, i</w:t>
      </w:r>
      <w:r w:rsidRPr="00D43409">
        <w:rPr>
          <w:rFonts w:ascii="Calibri" w:hAnsi="Calibri" w:cs="Calibri"/>
          <w:sz w:val="22"/>
          <w:szCs w:val="22"/>
          <w:lang w:val="en-US"/>
        </w:rPr>
        <w:t>ncreased intracranial pressure</w:t>
      </w:r>
      <w:r w:rsidR="00072F82" w:rsidRPr="00D43409">
        <w:rPr>
          <w:rFonts w:ascii="Calibri" w:hAnsi="Calibri" w:cs="Calibri"/>
          <w:sz w:val="22"/>
          <w:szCs w:val="22"/>
          <w:lang w:val="en-US"/>
        </w:rPr>
        <w:t>, a</w:t>
      </w:r>
      <w:r w:rsidRPr="00D43409">
        <w:rPr>
          <w:rFonts w:ascii="Calibri" w:hAnsi="Calibri" w:cs="Calibri"/>
          <w:sz w:val="22"/>
          <w:szCs w:val="22"/>
          <w:lang w:val="en-US"/>
        </w:rPr>
        <w:t>lter heart rate (brady- or tachycardia)</w:t>
      </w:r>
    </w:p>
    <w:p w14:paraId="325B5503" w14:textId="7D1BB373" w:rsidR="00980A71" w:rsidRPr="00D43409" w:rsidRDefault="00980A71"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Metabolized by the liver</w:t>
      </w:r>
      <w:r w:rsidR="00077EDB" w:rsidRPr="00D43409">
        <w:rPr>
          <w:rFonts w:ascii="Calibri" w:hAnsi="Calibri" w:cs="Calibri"/>
          <w:sz w:val="22"/>
          <w:szCs w:val="22"/>
          <w:lang w:val="en-US"/>
        </w:rPr>
        <w:t xml:space="preserve"> – care in patient with advanced hepatic insufficiency </w:t>
      </w:r>
    </w:p>
    <w:p w14:paraId="70B1E309" w14:textId="5804C474" w:rsidR="00E9007E" w:rsidRPr="00D43409" w:rsidRDefault="00E9007E"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lastRenderedPageBreak/>
        <w:t xml:space="preserve">Anticholinergic Agents </w:t>
      </w:r>
      <w:r w:rsidR="00077EDB" w:rsidRPr="00D43409">
        <w:rPr>
          <w:rFonts w:ascii="Calibri" w:hAnsi="Calibri" w:cs="Calibri"/>
          <w:b/>
          <w:sz w:val="22"/>
          <w:szCs w:val="22"/>
          <w:lang w:val="en-US"/>
        </w:rPr>
        <w:t xml:space="preserve">: </w:t>
      </w:r>
      <w:proofErr w:type="spellStart"/>
      <w:r w:rsidR="00077EDB" w:rsidRPr="00D43409">
        <w:rPr>
          <w:rFonts w:ascii="Calibri" w:hAnsi="Calibri" w:cs="Calibri"/>
          <w:b/>
          <w:sz w:val="22"/>
          <w:szCs w:val="22"/>
          <w:lang w:val="en-US"/>
        </w:rPr>
        <w:t>Aminopentamide</w:t>
      </w:r>
      <w:proofErr w:type="spellEnd"/>
      <w:r w:rsidR="00077EDB" w:rsidRPr="00D43409">
        <w:rPr>
          <w:rFonts w:ascii="Calibri" w:hAnsi="Calibri" w:cs="Calibri"/>
          <w:b/>
          <w:sz w:val="22"/>
          <w:szCs w:val="22"/>
          <w:lang w:val="en-US"/>
        </w:rPr>
        <w:t xml:space="preserve"> </w:t>
      </w:r>
    </w:p>
    <w:p w14:paraId="2AC03D36" w14:textId="3ED5F682" w:rsidR="00077EDB" w:rsidRPr="00D43409" w:rsidRDefault="00077EDB"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Dose: 0.01-0.03 mg/kg IM, SQ, PO q8-12h</w:t>
      </w:r>
    </w:p>
    <w:p w14:paraId="4DB5499D" w14:textId="57424E7E" w:rsidR="00077EDB" w:rsidRPr="00D43409" w:rsidRDefault="00077EDB" w:rsidP="006F6801">
      <w:pPr>
        <w:pStyle w:val="ListParagraph"/>
        <w:numPr>
          <w:ilvl w:val="0"/>
          <w:numId w:val="2"/>
        </w:numPr>
        <w:spacing w:line="360" w:lineRule="auto"/>
        <w:rPr>
          <w:rFonts w:ascii="Calibri" w:hAnsi="Calibri" w:cs="Calibri"/>
          <w:b/>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block the cholinergic receptors in the brain involved in the VC and upper GIT via vagus nerve (muscarinic receptors)</w:t>
      </w:r>
    </w:p>
    <w:p w14:paraId="25CA1164" w14:textId="1CE0D48C" w:rsidR="00077EDB" w:rsidRPr="00D43409" w:rsidRDefault="00077EDB"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Less effective than metoclopramide, inferior to 5-HT3 and NK-1 antagonists </w:t>
      </w:r>
    </w:p>
    <w:p w14:paraId="5409F3F5" w14:textId="1BEB4522" w:rsidR="00077EDB" w:rsidRPr="00D43409" w:rsidRDefault="00077EDB"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Other anticholinergics – e.g. atropine, propantheline, glycopyrrolate – less effective antiemetics </w:t>
      </w:r>
    </w:p>
    <w:p w14:paraId="41B37062" w14:textId="2E249A8B" w:rsidR="00077EDB" w:rsidRPr="00D43409" w:rsidRDefault="00077EDB"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Caution in patient with glaucoma, cardiomyopathy, </w:t>
      </w:r>
      <w:proofErr w:type="spellStart"/>
      <w:r w:rsidRPr="00D43409">
        <w:rPr>
          <w:rFonts w:ascii="Calibri" w:hAnsi="Calibri" w:cs="Calibri"/>
          <w:sz w:val="22"/>
          <w:szCs w:val="22"/>
          <w:lang w:val="en-US"/>
        </w:rPr>
        <w:t>tachyarrthymias</w:t>
      </w:r>
      <w:proofErr w:type="spellEnd"/>
      <w:r w:rsidRPr="00D43409">
        <w:rPr>
          <w:rFonts w:ascii="Calibri" w:hAnsi="Calibri" w:cs="Calibri"/>
          <w:sz w:val="22"/>
          <w:szCs w:val="22"/>
          <w:lang w:val="en-US"/>
        </w:rPr>
        <w:t xml:space="preserve">, hypotension, MG, or gastroesophageal reflux </w:t>
      </w:r>
    </w:p>
    <w:p w14:paraId="7383E9EA" w14:textId="02C2180A" w:rsidR="00D52433" w:rsidRPr="00D43409" w:rsidRDefault="00E9007E" w:rsidP="006F6801">
      <w:pPr>
        <w:pStyle w:val="ListParagraph"/>
        <w:numPr>
          <w:ilvl w:val="0"/>
          <w:numId w:val="6"/>
        </w:numPr>
        <w:spacing w:line="360" w:lineRule="auto"/>
        <w:rPr>
          <w:rFonts w:ascii="Calibri" w:hAnsi="Calibri" w:cs="Calibri"/>
          <w:b/>
          <w:sz w:val="22"/>
          <w:szCs w:val="22"/>
          <w:lang w:val="en-US"/>
        </w:rPr>
      </w:pPr>
      <w:r w:rsidRPr="00D43409">
        <w:rPr>
          <w:rFonts w:ascii="Calibri" w:hAnsi="Calibri" w:cs="Calibri"/>
          <w:b/>
          <w:sz w:val="22"/>
          <w:szCs w:val="22"/>
          <w:lang w:val="en-US"/>
        </w:rPr>
        <w:t>Peripherally acting antiemetics</w:t>
      </w:r>
    </w:p>
    <w:p w14:paraId="6B20FA77" w14:textId="2097E6F8" w:rsidR="00D52433" w:rsidRPr="00D43409" w:rsidRDefault="00D52433"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Drugs that sooth inflamed mucosal lesion (e.g. bismuth subsalicylate, barium sulfate) or relieve dyspepsia (e.g. antacid) can be used to alleviate vomiting</w:t>
      </w:r>
    </w:p>
    <w:p w14:paraId="7C609743" w14:textId="7CD95973" w:rsidR="00D52433" w:rsidRPr="00D43409" w:rsidRDefault="00DB2B22"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Typically,</w:t>
      </w:r>
      <w:r w:rsidR="00D52433" w:rsidRPr="00D43409">
        <w:rPr>
          <w:rFonts w:ascii="Calibri" w:hAnsi="Calibri" w:cs="Calibri"/>
          <w:sz w:val="22"/>
          <w:szCs w:val="22"/>
          <w:lang w:val="en-US"/>
        </w:rPr>
        <w:t xml:space="preserve"> much less effective than other drugs that have been discussed </w:t>
      </w:r>
    </w:p>
    <w:p w14:paraId="02CE1CF7" w14:textId="77777777" w:rsidR="003C175D" w:rsidRPr="00D43409" w:rsidRDefault="003C175D" w:rsidP="006F6801">
      <w:pPr>
        <w:spacing w:line="360" w:lineRule="auto"/>
        <w:rPr>
          <w:rFonts w:ascii="Calibri" w:hAnsi="Calibri" w:cs="Calibri"/>
          <w:sz w:val="22"/>
          <w:szCs w:val="22"/>
          <w:lang w:val="en-US"/>
        </w:rPr>
      </w:pPr>
    </w:p>
    <w:p w14:paraId="27DDE294" w14:textId="77777777" w:rsidR="00B93CEA" w:rsidRPr="00D43409" w:rsidRDefault="00B93CEA"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Chemotherapy induced emesis </w:t>
      </w:r>
    </w:p>
    <w:p w14:paraId="064A07E8" w14:textId="14F68493" w:rsidR="000F70C1" w:rsidRPr="00D43409" w:rsidRDefault="0005411C"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Nausea and vomiting are the most common complications of chemotherapy</w:t>
      </w:r>
    </w:p>
    <w:p w14:paraId="4AF85ED0" w14:textId="73221F59" w:rsidR="00481C49" w:rsidRPr="00D43409" w:rsidRDefault="0055234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Causes:</w:t>
      </w:r>
    </w:p>
    <w:p w14:paraId="355A2E53" w14:textId="32070D00" w:rsidR="00481C49" w:rsidRPr="00D43409" w:rsidRDefault="00DB2B22" w:rsidP="002E5765">
      <w:pPr>
        <w:pStyle w:val="ListParagraph"/>
        <w:spacing w:line="360" w:lineRule="auto"/>
        <w:ind w:left="1440"/>
        <w:rPr>
          <w:rFonts w:ascii="Calibri" w:hAnsi="Calibri" w:cs="Calibri"/>
          <w:sz w:val="22"/>
          <w:szCs w:val="22"/>
          <w:lang w:val="en-US"/>
        </w:rPr>
      </w:pPr>
      <w:r>
        <w:rPr>
          <w:rFonts w:ascii="Calibri" w:hAnsi="Calibri" w:cs="Calibri"/>
          <w:sz w:val="22"/>
          <w:szCs w:val="22"/>
          <w:lang w:val="en-US"/>
        </w:rPr>
        <w:t>1) Location</w:t>
      </w:r>
      <w:r w:rsidR="00481C49" w:rsidRPr="00D43409">
        <w:rPr>
          <w:rFonts w:ascii="Calibri" w:hAnsi="Calibri" w:cs="Calibri"/>
          <w:sz w:val="22"/>
          <w:szCs w:val="22"/>
          <w:lang w:val="en-US"/>
        </w:rPr>
        <w:t xml:space="preserve"> of tumour – gastrointestinal tract, liver, pancreas </w:t>
      </w:r>
    </w:p>
    <w:p w14:paraId="284ED8A9" w14:textId="6AD52EE4" w:rsidR="00481C49" w:rsidRPr="00D43409" w:rsidRDefault="00481C49" w:rsidP="002E5765">
      <w:pPr>
        <w:pStyle w:val="ListParagraph"/>
        <w:spacing w:line="360" w:lineRule="auto"/>
        <w:ind w:left="1440"/>
        <w:rPr>
          <w:rFonts w:ascii="Calibri" w:hAnsi="Calibri" w:cs="Calibri"/>
          <w:sz w:val="22"/>
          <w:szCs w:val="22"/>
          <w:lang w:val="en-US"/>
        </w:rPr>
      </w:pPr>
      <w:r w:rsidRPr="00D43409">
        <w:rPr>
          <w:rFonts w:ascii="Calibri" w:hAnsi="Calibri" w:cs="Calibri"/>
          <w:sz w:val="22"/>
          <w:szCs w:val="22"/>
          <w:lang w:val="en-US"/>
        </w:rPr>
        <w:t xml:space="preserve">2) Paraneoplastic syndrome </w:t>
      </w:r>
    </w:p>
    <w:p w14:paraId="668DD946" w14:textId="4143A8BF" w:rsidR="00481C49" w:rsidRPr="00D43409" w:rsidRDefault="00481C49" w:rsidP="002E5765">
      <w:pPr>
        <w:pStyle w:val="ListParagraph"/>
        <w:spacing w:line="360" w:lineRule="auto"/>
        <w:ind w:left="1440"/>
        <w:rPr>
          <w:rFonts w:ascii="Calibri" w:hAnsi="Calibri" w:cs="Calibri"/>
          <w:sz w:val="22"/>
          <w:szCs w:val="22"/>
          <w:lang w:val="en-US"/>
        </w:rPr>
      </w:pPr>
      <w:r w:rsidRPr="00D43409">
        <w:rPr>
          <w:rFonts w:ascii="Calibri" w:hAnsi="Calibri" w:cs="Calibri"/>
          <w:sz w:val="22"/>
          <w:szCs w:val="22"/>
          <w:lang w:val="en-US"/>
        </w:rPr>
        <w:t>3) Treatment (</w:t>
      </w:r>
      <w:proofErr w:type="spellStart"/>
      <w:r w:rsidR="00F364F2">
        <w:rPr>
          <w:rFonts w:ascii="Calibri" w:hAnsi="Calibri" w:cs="Calibri"/>
          <w:sz w:val="22"/>
          <w:szCs w:val="22"/>
          <w:lang w:val="en-US"/>
        </w:rPr>
        <w:t>sx</w:t>
      </w:r>
      <w:proofErr w:type="spellEnd"/>
      <w:r w:rsidR="00F364F2">
        <w:rPr>
          <w:rFonts w:ascii="Calibri" w:hAnsi="Calibri" w:cs="Calibri"/>
          <w:sz w:val="22"/>
          <w:szCs w:val="22"/>
          <w:lang w:val="en-US"/>
        </w:rPr>
        <w:t xml:space="preserve">, </w:t>
      </w:r>
      <w:r w:rsidRPr="00D43409">
        <w:rPr>
          <w:rFonts w:ascii="Calibri" w:hAnsi="Calibri" w:cs="Calibri"/>
          <w:sz w:val="22"/>
          <w:szCs w:val="22"/>
          <w:lang w:val="en-US"/>
        </w:rPr>
        <w:t xml:space="preserve">radiation, chemotherapy) </w:t>
      </w:r>
    </w:p>
    <w:p w14:paraId="388C80CC" w14:textId="134F3817" w:rsidR="0055234F" w:rsidRPr="00D43409" w:rsidRDefault="0055234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3 types of vomiting</w:t>
      </w:r>
    </w:p>
    <w:p w14:paraId="4A967613" w14:textId="63862D0B" w:rsidR="0055234F" w:rsidRPr="00D43409" w:rsidRDefault="0055234F"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Anticipated vomiting – rare in pets, corresponds to a Pavlov-like type of reflex.  Tx: tx with antiemetic before chemotherapy </w:t>
      </w:r>
    </w:p>
    <w:p w14:paraId="4A9C26B8" w14:textId="0F9ADAF6" w:rsidR="0055234F" w:rsidRPr="00D43409" w:rsidRDefault="0055234F"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Acute vomiting (w/in first 24 </w:t>
      </w:r>
      <w:proofErr w:type="spellStart"/>
      <w:r w:rsidRPr="00D43409">
        <w:rPr>
          <w:rFonts w:ascii="Calibri" w:hAnsi="Calibri" w:cs="Calibri"/>
          <w:sz w:val="22"/>
          <w:szCs w:val="22"/>
          <w:lang w:val="en-US"/>
        </w:rPr>
        <w:t>hrs</w:t>
      </w:r>
      <w:proofErr w:type="spellEnd"/>
      <w:r w:rsidRPr="00D43409">
        <w:rPr>
          <w:rFonts w:ascii="Calibri" w:hAnsi="Calibri" w:cs="Calibri"/>
          <w:sz w:val="22"/>
          <w:szCs w:val="22"/>
          <w:lang w:val="en-US"/>
        </w:rPr>
        <w:t xml:space="preserve"> of tx) – caused by central or peripheral stimulation, predominant mode of action of cytotoxic drugs</w:t>
      </w:r>
    </w:p>
    <w:p w14:paraId="418D8369" w14:textId="2A19116E" w:rsidR="0055234F" w:rsidRPr="00D43409" w:rsidRDefault="0055234F"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Delayed vomiting (1-5 days after tx) – complex &amp; multifactorial, </w:t>
      </w:r>
      <w:r w:rsidR="00921550" w:rsidRPr="00D43409">
        <w:rPr>
          <w:rFonts w:ascii="Calibri" w:hAnsi="Calibri" w:cs="Calibri"/>
          <w:sz w:val="22"/>
          <w:szCs w:val="22"/>
          <w:lang w:val="en-US"/>
        </w:rPr>
        <w:t>may be due to reduction in intestinal motility or to alteration of the intestinal muc</w:t>
      </w:r>
      <w:r w:rsidR="008E02DB" w:rsidRPr="00D43409">
        <w:rPr>
          <w:rFonts w:ascii="Calibri" w:hAnsi="Calibri" w:cs="Calibri"/>
          <w:sz w:val="22"/>
          <w:szCs w:val="22"/>
          <w:lang w:val="en-US"/>
        </w:rPr>
        <w:t xml:space="preserve">osa and its release of hormones, or accumulation of metabolites of cytotoxic agents </w:t>
      </w:r>
    </w:p>
    <w:tbl>
      <w:tblPr>
        <w:tblStyle w:val="TableGrid"/>
        <w:tblW w:w="0" w:type="auto"/>
        <w:tblLook w:val="04A0" w:firstRow="1" w:lastRow="0" w:firstColumn="1" w:lastColumn="0" w:noHBand="0" w:noVBand="1"/>
      </w:tblPr>
      <w:tblGrid>
        <w:gridCol w:w="1524"/>
        <w:gridCol w:w="8387"/>
      </w:tblGrid>
      <w:tr w:rsidR="002B0838" w:rsidRPr="00D43409" w14:paraId="0B283757" w14:textId="77777777" w:rsidTr="007C3DBA">
        <w:tc>
          <w:tcPr>
            <w:tcW w:w="1524" w:type="dxa"/>
          </w:tcPr>
          <w:p w14:paraId="0A653802" w14:textId="54300185" w:rsidR="002B0838" w:rsidRPr="00D43409" w:rsidRDefault="0010559E" w:rsidP="006F6801">
            <w:pPr>
              <w:spacing w:line="360" w:lineRule="auto"/>
              <w:rPr>
                <w:rFonts w:ascii="Calibri" w:hAnsi="Calibri" w:cs="Calibri"/>
                <w:b/>
                <w:sz w:val="22"/>
                <w:szCs w:val="22"/>
                <w:lang w:val="en-US"/>
              </w:rPr>
            </w:pPr>
            <w:r w:rsidRPr="00D43409">
              <w:rPr>
                <w:rFonts w:ascii="Calibri" w:hAnsi="Calibri" w:cs="Calibri"/>
                <w:b/>
                <w:sz w:val="22"/>
                <w:szCs w:val="22"/>
                <w:lang w:val="en-US"/>
              </w:rPr>
              <w:t>Type of V+</w:t>
            </w:r>
          </w:p>
        </w:tc>
        <w:tc>
          <w:tcPr>
            <w:tcW w:w="8387" w:type="dxa"/>
          </w:tcPr>
          <w:p w14:paraId="68226922" w14:textId="143F85A9" w:rsidR="002B0838" w:rsidRPr="00D43409" w:rsidRDefault="0010559E" w:rsidP="006F6801">
            <w:pPr>
              <w:spacing w:line="360" w:lineRule="auto"/>
              <w:rPr>
                <w:rFonts w:ascii="Calibri" w:hAnsi="Calibri" w:cs="Calibri"/>
                <w:b/>
                <w:sz w:val="22"/>
                <w:szCs w:val="22"/>
                <w:lang w:val="en-US"/>
              </w:rPr>
            </w:pPr>
            <w:r w:rsidRPr="00D43409">
              <w:rPr>
                <w:rFonts w:ascii="Calibri" w:hAnsi="Calibri" w:cs="Calibri"/>
                <w:b/>
                <w:sz w:val="22"/>
                <w:szCs w:val="22"/>
                <w:lang w:val="en-US"/>
              </w:rPr>
              <w:t xml:space="preserve">Cytotoxic drug </w:t>
            </w:r>
          </w:p>
        </w:tc>
      </w:tr>
      <w:tr w:rsidR="002B0838" w:rsidRPr="00D43409" w14:paraId="50595E8B" w14:textId="77777777" w:rsidTr="007C3DBA">
        <w:tc>
          <w:tcPr>
            <w:tcW w:w="1524" w:type="dxa"/>
          </w:tcPr>
          <w:p w14:paraId="20DFACFE" w14:textId="2D2447DD"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Severe</w:t>
            </w:r>
          </w:p>
        </w:tc>
        <w:tc>
          <w:tcPr>
            <w:tcW w:w="8387" w:type="dxa"/>
          </w:tcPr>
          <w:p w14:paraId="3FFC6271" w14:textId="22FE748E"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Cisplatin, dacarbazine, streptozotocin, actinomycin</w:t>
            </w:r>
          </w:p>
        </w:tc>
      </w:tr>
      <w:tr w:rsidR="002B0838" w:rsidRPr="00D43409" w14:paraId="2FD01E4B" w14:textId="77777777" w:rsidTr="007C3DBA">
        <w:tc>
          <w:tcPr>
            <w:tcW w:w="1524" w:type="dxa"/>
          </w:tcPr>
          <w:p w14:paraId="0F8CDE01" w14:textId="16CA3611"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Moderate </w:t>
            </w:r>
          </w:p>
        </w:tc>
        <w:tc>
          <w:tcPr>
            <w:tcW w:w="8387" w:type="dxa"/>
          </w:tcPr>
          <w:p w14:paraId="2A2D883C" w14:textId="6AB9610A"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Cyclophosphamide, doxorubicin, methotrexate, carboplatin, mitoxantrone, </w:t>
            </w:r>
            <w:proofErr w:type="spellStart"/>
            <w:r w:rsidRPr="00D43409">
              <w:rPr>
                <w:rFonts w:ascii="Calibri" w:hAnsi="Calibri" w:cs="Calibri"/>
                <w:sz w:val="22"/>
                <w:szCs w:val="22"/>
                <w:lang w:val="en-US"/>
              </w:rPr>
              <w:t>llosfamide</w:t>
            </w:r>
            <w:proofErr w:type="spellEnd"/>
          </w:p>
        </w:tc>
      </w:tr>
      <w:tr w:rsidR="002B0838" w:rsidRPr="00D43409" w14:paraId="52A7678D" w14:textId="77777777" w:rsidTr="007C3DBA">
        <w:tc>
          <w:tcPr>
            <w:tcW w:w="1524" w:type="dxa"/>
          </w:tcPr>
          <w:p w14:paraId="5E26FB6F" w14:textId="1073DCE5"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Mild</w:t>
            </w:r>
          </w:p>
        </w:tc>
        <w:tc>
          <w:tcPr>
            <w:tcW w:w="8387" w:type="dxa"/>
          </w:tcPr>
          <w:p w14:paraId="1888C983" w14:textId="741530E3"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L-asparaginase, docetaxel, 5-Fluorouracil, </w:t>
            </w:r>
            <w:proofErr w:type="spellStart"/>
            <w:r w:rsidRPr="00D43409">
              <w:rPr>
                <w:rFonts w:ascii="Calibri" w:hAnsi="Calibri" w:cs="Calibri"/>
                <w:sz w:val="22"/>
                <w:szCs w:val="22"/>
                <w:lang w:val="en-US"/>
              </w:rPr>
              <w:t>thiotepa</w:t>
            </w:r>
            <w:proofErr w:type="spellEnd"/>
            <w:r w:rsidRPr="00D43409">
              <w:rPr>
                <w:rFonts w:ascii="Calibri" w:hAnsi="Calibri" w:cs="Calibri"/>
                <w:sz w:val="22"/>
                <w:szCs w:val="22"/>
                <w:lang w:val="en-US"/>
              </w:rPr>
              <w:t>, paclitaxel, vinblastine, vinorelbine</w:t>
            </w:r>
          </w:p>
        </w:tc>
      </w:tr>
      <w:tr w:rsidR="002B0838" w:rsidRPr="00D43409" w14:paraId="0B7AAA82" w14:textId="77777777" w:rsidTr="007C3DBA">
        <w:tc>
          <w:tcPr>
            <w:tcW w:w="1524" w:type="dxa"/>
          </w:tcPr>
          <w:p w14:paraId="7B3C7891" w14:textId="6C015C63"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Minimal</w:t>
            </w:r>
          </w:p>
        </w:tc>
        <w:tc>
          <w:tcPr>
            <w:tcW w:w="8387" w:type="dxa"/>
          </w:tcPr>
          <w:p w14:paraId="59EA458A" w14:textId="0B423FC6" w:rsidR="002B0838" w:rsidRPr="00D43409" w:rsidRDefault="00A56F22"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Bleomycin, </w:t>
            </w:r>
            <w:proofErr w:type="spellStart"/>
            <w:r w:rsidRPr="00D43409">
              <w:rPr>
                <w:rFonts w:ascii="Calibri" w:hAnsi="Calibri" w:cs="Calibri"/>
                <w:sz w:val="22"/>
                <w:szCs w:val="22"/>
                <w:lang w:val="en-US"/>
              </w:rPr>
              <w:t>busulfan</w:t>
            </w:r>
            <w:proofErr w:type="spellEnd"/>
            <w:r w:rsidRPr="00D43409">
              <w:rPr>
                <w:rFonts w:ascii="Calibri" w:hAnsi="Calibri" w:cs="Calibri"/>
                <w:sz w:val="22"/>
                <w:szCs w:val="22"/>
                <w:lang w:val="en-US"/>
              </w:rPr>
              <w:t xml:space="preserve">, chlorambucil, hydroxyurea, vincristine, interferon </w:t>
            </w:r>
          </w:p>
        </w:tc>
      </w:tr>
    </w:tbl>
    <w:p w14:paraId="138720CE" w14:textId="77777777" w:rsidR="0055234F" w:rsidRPr="00D43409" w:rsidRDefault="0055234F" w:rsidP="006F6801">
      <w:pPr>
        <w:spacing w:line="360" w:lineRule="auto"/>
        <w:rPr>
          <w:rFonts w:ascii="Calibri" w:hAnsi="Calibri" w:cs="Calibri"/>
          <w:sz w:val="22"/>
          <w:szCs w:val="22"/>
          <w:lang w:val="en-US"/>
        </w:rPr>
      </w:pPr>
    </w:p>
    <w:p w14:paraId="611E1556" w14:textId="77777777" w:rsidR="008D1FCD" w:rsidRPr="00D43409" w:rsidRDefault="008D1FCD" w:rsidP="006F6801">
      <w:pPr>
        <w:spacing w:line="360" w:lineRule="auto"/>
        <w:rPr>
          <w:rFonts w:ascii="Calibri" w:hAnsi="Calibri" w:cs="Calibri"/>
          <w:sz w:val="22"/>
          <w:szCs w:val="22"/>
          <w:u w:val="single"/>
          <w:lang w:val="en-US"/>
        </w:rPr>
      </w:pPr>
      <w:r w:rsidRPr="00D43409">
        <w:rPr>
          <w:rFonts w:ascii="Calibri" w:hAnsi="Calibri" w:cs="Calibri"/>
          <w:sz w:val="22"/>
          <w:szCs w:val="22"/>
          <w:u w:val="single"/>
          <w:lang w:val="en-US"/>
        </w:rPr>
        <w:t>Gastroprotectants</w:t>
      </w:r>
    </w:p>
    <w:p w14:paraId="5A257E13" w14:textId="77777777" w:rsidR="008D1FCD" w:rsidRPr="00D43409" w:rsidRDefault="008D1FCD"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Primary indication is to heal existing gastric ulcers and erosions</w:t>
      </w:r>
      <w:r w:rsidR="006908F3" w:rsidRPr="00D43409">
        <w:rPr>
          <w:rFonts w:ascii="Calibri" w:hAnsi="Calibri" w:cs="Calibri"/>
          <w:sz w:val="22"/>
          <w:szCs w:val="22"/>
          <w:lang w:val="en-US"/>
        </w:rPr>
        <w:t xml:space="preserve">, and is poorly effective at preventing ulceration when the cause persists </w:t>
      </w:r>
    </w:p>
    <w:p w14:paraId="6B628614" w14:textId="77777777" w:rsidR="004D22E0" w:rsidRPr="00D43409" w:rsidRDefault="004D22E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Causes of gastrointestinal </w:t>
      </w:r>
      <w:r w:rsidR="00E74567" w:rsidRPr="00D43409">
        <w:rPr>
          <w:rFonts w:ascii="Calibri" w:hAnsi="Calibri" w:cs="Calibri"/>
          <w:sz w:val="22"/>
          <w:szCs w:val="22"/>
          <w:lang w:val="en-US"/>
        </w:rPr>
        <w:t>ulceration and erosions (GUE) include:</w:t>
      </w:r>
    </w:p>
    <w:p w14:paraId="3DBE8BAD" w14:textId="236BE21C" w:rsidR="00E74567" w:rsidRPr="00D43409" w:rsidRDefault="00E7456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Stress (an event causing hypoperfusion or anoxia at the gas</w:t>
      </w:r>
      <w:r w:rsidR="00CD0AAC" w:rsidRPr="00D43409">
        <w:rPr>
          <w:rFonts w:ascii="Calibri" w:hAnsi="Calibri" w:cs="Calibri"/>
          <w:sz w:val="22"/>
          <w:szCs w:val="22"/>
          <w:lang w:val="en-US"/>
        </w:rPr>
        <w:t>t</w:t>
      </w:r>
      <w:r w:rsidRPr="00D43409">
        <w:rPr>
          <w:rFonts w:ascii="Calibri" w:hAnsi="Calibri" w:cs="Calibri"/>
          <w:sz w:val="22"/>
          <w:szCs w:val="22"/>
          <w:lang w:val="en-US"/>
        </w:rPr>
        <w:t>ric mucosa)</w:t>
      </w:r>
    </w:p>
    <w:p w14:paraId="52014097" w14:textId="55925358" w:rsidR="00E74567" w:rsidRPr="00D43409" w:rsidRDefault="00E7456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Drug therapy (NSAID, </w:t>
      </w:r>
      <w:r w:rsidR="00832D96">
        <w:rPr>
          <w:rFonts w:ascii="Calibri" w:hAnsi="Calibri" w:cs="Calibri"/>
          <w:sz w:val="22"/>
          <w:szCs w:val="22"/>
          <w:lang w:val="en-US"/>
        </w:rPr>
        <w:t>corticosteroids</w:t>
      </w:r>
      <w:r w:rsidRPr="00D43409">
        <w:rPr>
          <w:rFonts w:ascii="Calibri" w:hAnsi="Calibri" w:cs="Calibri"/>
          <w:sz w:val="22"/>
          <w:szCs w:val="22"/>
          <w:lang w:val="en-US"/>
        </w:rPr>
        <w:t>)</w:t>
      </w:r>
    </w:p>
    <w:p w14:paraId="1517CB68" w14:textId="77777777" w:rsidR="000E42E5" w:rsidRPr="00D43409" w:rsidRDefault="000E42E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Marked hyperacidity</w:t>
      </w:r>
      <w:r w:rsidR="000405CF" w:rsidRPr="00D43409">
        <w:rPr>
          <w:rFonts w:ascii="Calibri" w:hAnsi="Calibri" w:cs="Calibri"/>
          <w:sz w:val="22"/>
          <w:szCs w:val="22"/>
          <w:lang w:val="en-US"/>
        </w:rPr>
        <w:t xml:space="preserve"> (e.</w:t>
      </w:r>
      <w:r w:rsidRPr="00D43409">
        <w:rPr>
          <w:rFonts w:ascii="Calibri" w:hAnsi="Calibri" w:cs="Calibri"/>
          <w:sz w:val="22"/>
          <w:szCs w:val="22"/>
          <w:lang w:val="en-US"/>
        </w:rPr>
        <w:t>g</w:t>
      </w:r>
      <w:r w:rsidR="000405CF" w:rsidRPr="00D43409">
        <w:rPr>
          <w:rFonts w:ascii="Calibri" w:hAnsi="Calibri" w:cs="Calibri"/>
          <w:sz w:val="22"/>
          <w:szCs w:val="22"/>
          <w:lang w:val="en-US"/>
        </w:rPr>
        <w:t>.</w:t>
      </w:r>
      <w:r w:rsidRPr="00D43409">
        <w:rPr>
          <w:rFonts w:ascii="Calibri" w:hAnsi="Calibri" w:cs="Calibri"/>
          <w:sz w:val="22"/>
          <w:szCs w:val="22"/>
          <w:lang w:val="en-US"/>
        </w:rPr>
        <w:t xml:space="preserve"> gastrinoma, MCT) </w:t>
      </w:r>
    </w:p>
    <w:p w14:paraId="4CE3137F" w14:textId="77777777" w:rsidR="000E42E5" w:rsidRPr="00D43409" w:rsidRDefault="000E42E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Liver failure </w:t>
      </w:r>
    </w:p>
    <w:p w14:paraId="3E6FCA40" w14:textId="77777777" w:rsidR="000E42E5" w:rsidRPr="00D43409" w:rsidRDefault="000E42E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Chronic foreign body</w:t>
      </w:r>
    </w:p>
    <w:p w14:paraId="61AECE4B" w14:textId="77777777" w:rsidR="000E42E5" w:rsidRPr="00D43409" w:rsidRDefault="000E42E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Masses </w:t>
      </w:r>
    </w:p>
    <w:p w14:paraId="0A2CF34F" w14:textId="11D9338D" w:rsidR="00D06203" w:rsidRPr="00D43409" w:rsidRDefault="00D06203"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Gastroprotectants have no effects on the vomiting </w:t>
      </w:r>
      <w:r w:rsidR="00EB18C2" w:rsidRPr="00D43409">
        <w:rPr>
          <w:rFonts w:ascii="Calibri" w:hAnsi="Calibri" w:cs="Calibri"/>
          <w:sz w:val="22"/>
          <w:szCs w:val="22"/>
          <w:lang w:val="en-US"/>
        </w:rPr>
        <w:t>center</w:t>
      </w:r>
      <w:r w:rsidRPr="00D43409">
        <w:rPr>
          <w:rFonts w:ascii="Calibri" w:hAnsi="Calibri" w:cs="Calibri"/>
          <w:sz w:val="22"/>
          <w:szCs w:val="22"/>
          <w:lang w:val="en-US"/>
        </w:rPr>
        <w:t xml:space="preserve"> and are not antiemetics; howev</w:t>
      </w:r>
      <w:r w:rsidR="00146FEF">
        <w:rPr>
          <w:rFonts w:ascii="Calibri" w:hAnsi="Calibri" w:cs="Calibri"/>
          <w:sz w:val="22"/>
          <w:szCs w:val="22"/>
          <w:lang w:val="en-US"/>
        </w:rPr>
        <w:t xml:space="preserve">er, they have ant antidyspeptic effect </w:t>
      </w:r>
      <w:r w:rsidRPr="00D43409">
        <w:rPr>
          <w:rFonts w:ascii="Calibri" w:hAnsi="Calibri" w:cs="Calibri"/>
          <w:sz w:val="22"/>
          <w:szCs w:val="22"/>
          <w:lang w:val="en-US"/>
        </w:rPr>
        <w:t>that could lessen nau</w:t>
      </w:r>
      <w:r w:rsidR="00BD6050" w:rsidRPr="00D43409">
        <w:rPr>
          <w:rFonts w:ascii="Calibri" w:hAnsi="Calibri" w:cs="Calibri"/>
          <w:sz w:val="22"/>
          <w:szCs w:val="22"/>
          <w:lang w:val="en-US"/>
        </w:rPr>
        <w:t>s</w:t>
      </w:r>
      <w:r w:rsidRPr="00D43409">
        <w:rPr>
          <w:rFonts w:ascii="Calibri" w:hAnsi="Calibri" w:cs="Calibri"/>
          <w:sz w:val="22"/>
          <w:szCs w:val="22"/>
          <w:lang w:val="en-US"/>
        </w:rPr>
        <w:t xml:space="preserve">ea </w:t>
      </w:r>
    </w:p>
    <w:p w14:paraId="797ECBED" w14:textId="0E1D4134" w:rsidR="008D1FCD" w:rsidRPr="00D43409" w:rsidRDefault="00412F4C" w:rsidP="006F6801">
      <w:pPr>
        <w:pStyle w:val="ListParagraph"/>
        <w:numPr>
          <w:ilvl w:val="0"/>
          <w:numId w:val="4"/>
        </w:numPr>
        <w:spacing w:line="360" w:lineRule="auto"/>
        <w:rPr>
          <w:rFonts w:ascii="Calibri" w:hAnsi="Calibri" w:cs="Calibri"/>
          <w:b/>
          <w:sz w:val="22"/>
          <w:szCs w:val="22"/>
          <w:lang w:val="en-US"/>
        </w:rPr>
      </w:pPr>
      <w:r w:rsidRPr="00D43409">
        <w:rPr>
          <w:rFonts w:ascii="Calibri" w:hAnsi="Calibri" w:cs="Calibri"/>
          <w:b/>
          <w:sz w:val="22"/>
          <w:szCs w:val="22"/>
          <w:lang w:val="en-US"/>
        </w:rPr>
        <w:t>Histamine-2 Receptor Antagonists (H2Ras)</w:t>
      </w:r>
    </w:p>
    <w:p w14:paraId="1C80ECFD" w14:textId="239E0D11" w:rsidR="00F14E0A" w:rsidRPr="00D43409" w:rsidRDefault="00F14E0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Cimetidine, ranitidine, famotidine</w:t>
      </w:r>
      <w:r w:rsidR="001D7DB7" w:rsidRPr="00D43409">
        <w:rPr>
          <w:rFonts w:ascii="Calibri" w:hAnsi="Calibri" w:cs="Calibri"/>
          <w:sz w:val="22"/>
          <w:szCs w:val="22"/>
          <w:lang w:val="en-US"/>
        </w:rPr>
        <w:t xml:space="preserve"> (nizatidine, lafutidine)</w:t>
      </w:r>
    </w:p>
    <w:p w14:paraId="0D77BEED" w14:textId="5BF533AD" w:rsidR="006D6309" w:rsidRPr="00D43409" w:rsidRDefault="00AE6855"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w:t>
      </w:r>
      <w:r w:rsidR="00B5287C" w:rsidRPr="00D43409">
        <w:rPr>
          <w:rFonts w:ascii="Calibri" w:hAnsi="Calibri" w:cs="Calibri"/>
          <w:sz w:val="22"/>
          <w:szCs w:val="22"/>
          <w:lang w:val="en-US"/>
        </w:rPr>
        <w:t xml:space="preserve">competitively and reversibly inhibit the H2 receptor on the basolateral membrane of the parietal cell, blocking acid secretion </w:t>
      </w:r>
    </w:p>
    <w:p w14:paraId="061DCF8B" w14:textId="24AD7AEB" w:rsidR="00E26E3B" w:rsidRPr="00D43409" w:rsidRDefault="00EF1EA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Onset of action: immediate </w:t>
      </w:r>
    </w:p>
    <w:p w14:paraId="2B771592" w14:textId="0460CEFA" w:rsidR="00EA23D0" w:rsidRPr="00D43409" w:rsidRDefault="00EA23D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Potency: Famotidine &gt; nizatidine &gt; cimetidine and ranitidine </w:t>
      </w:r>
    </w:p>
    <w:p w14:paraId="0D77A4DF" w14:textId="3FD28468" w:rsidR="00F14E0A" w:rsidRPr="00D43409" w:rsidRDefault="00F14E0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However, potency does not equate efficacy </w:t>
      </w:r>
    </w:p>
    <w:p w14:paraId="7AA3812A" w14:textId="7BED8988" w:rsidR="00C54AAA" w:rsidRPr="00D43409" w:rsidRDefault="00C54AA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Cimetidine’s absorption is delayed by food </w:t>
      </w:r>
    </w:p>
    <w:p w14:paraId="4FC6F482" w14:textId="699983CA" w:rsidR="00016F61" w:rsidRPr="00D43409" w:rsidRDefault="00016F6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Metabolism: </w:t>
      </w:r>
    </w:p>
    <w:p w14:paraId="4161B9F8" w14:textId="6A5C6329" w:rsidR="00016F61" w:rsidRPr="00D43409" w:rsidRDefault="00016F6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Cimetidine and ranitidine metabolized by the liver </w:t>
      </w:r>
    </w:p>
    <w:p w14:paraId="10F0FD14" w14:textId="3A12B481" w:rsidR="00EA23D0" w:rsidRPr="00D43409" w:rsidRDefault="00C54AA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Famotidine, ranitidine and cimetidine undergo substantial 1</w:t>
      </w:r>
      <w:r w:rsidRPr="00D43409">
        <w:rPr>
          <w:rFonts w:ascii="Calibri" w:hAnsi="Calibri" w:cs="Calibri"/>
          <w:sz w:val="22"/>
          <w:szCs w:val="22"/>
          <w:vertAlign w:val="superscript"/>
          <w:lang w:val="en-US"/>
        </w:rPr>
        <w:t>st</w:t>
      </w:r>
      <w:r w:rsidRPr="00D43409">
        <w:rPr>
          <w:rFonts w:ascii="Calibri" w:hAnsi="Calibri" w:cs="Calibri"/>
          <w:sz w:val="22"/>
          <w:szCs w:val="22"/>
          <w:lang w:val="en-US"/>
        </w:rPr>
        <w:t xml:space="preserve"> pass hepatic metabolism, but not nizatidine </w:t>
      </w:r>
    </w:p>
    <w:p w14:paraId="14198B69" w14:textId="77777777" w:rsidR="00016F61" w:rsidRPr="00D43409" w:rsidRDefault="00016F6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Famotidine and nizatidine excreted unchanged in the urine</w:t>
      </w:r>
    </w:p>
    <w:p w14:paraId="0EC34C36" w14:textId="33AFF817" w:rsidR="00EA72EB" w:rsidRPr="00D43409" w:rsidRDefault="00EA72E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Dosage reduction recommended due to extensive renal tubular secretion</w:t>
      </w:r>
    </w:p>
    <w:p w14:paraId="493B0DC5" w14:textId="1115027D" w:rsidR="00867D9D" w:rsidRPr="00D43409" w:rsidRDefault="00867D9D"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Interactions:</w:t>
      </w:r>
    </w:p>
    <w:p w14:paraId="798C2930" w14:textId="474F09C9" w:rsidR="00867D9D" w:rsidRPr="00D43409" w:rsidRDefault="00867D9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Cimetidine markedly inhibits the hepatic cytochrome P-450 enzymes</w:t>
      </w:r>
    </w:p>
    <w:p w14:paraId="64CE7743" w14:textId="5FC2423E" w:rsidR="00867D9D" w:rsidRPr="00D43409" w:rsidRDefault="00867D9D"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color w:val="000000"/>
          <w:sz w:val="22"/>
          <w:szCs w:val="22"/>
          <w:lang w:val="en-US"/>
        </w:rPr>
        <w:t>Ranitidine, nizatidine, and famotidine bind CYP450 with less avidity</w:t>
      </w:r>
    </w:p>
    <w:p w14:paraId="3E375131" w14:textId="5CA5EEFE" w:rsidR="00867D9D" w:rsidRPr="00D43409" w:rsidRDefault="00867D9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Cimetidine decrease metabolism of theophylline, metronidazole, lidocaine and many others</w:t>
      </w:r>
    </w:p>
    <w:p w14:paraId="15864F89" w14:textId="644149BC" w:rsidR="00867D9D" w:rsidRPr="00D43409" w:rsidRDefault="00F24A23"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Cimetidine decreases hepatic blood flow 20%</w:t>
      </w:r>
    </w:p>
    <w:p w14:paraId="0168156E" w14:textId="6763B32E" w:rsidR="001D7DB7" w:rsidRPr="00D43409" w:rsidRDefault="001D7DB7"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 xml:space="preserve">Lafutidine (new H2RA) has additional </w:t>
      </w: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of nitric-oxide mediated and histamine-independent mechanism</w:t>
      </w:r>
    </w:p>
    <w:p w14:paraId="6FDA2560" w14:textId="77777777" w:rsidR="00C325FE" w:rsidRPr="00D43409" w:rsidRDefault="001D7DB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Has mucosal protective action that is mediated by capsaicin-sensitive sensory nerves</w:t>
      </w:r>
    </w:p>
    <w:p w14:paraId="1C24BB0B" w14:textId="51A3783D" w:rsidR="00C325FE" w:rsidRPr="00D43409" w:rsidRDefault="005F463C"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Capsaicin-sensitive sensory nerves protect GI mucosa via stimulation of calcitonin gene-related receptor </w:t>
      </w:r>
      <w:r w:rsidR="00FC104F" w:rsidRPr="00D43409">
        <w:rPr>
          <w:rFonts w:ascii="Calibri" w:hAnsi="Calibri" w:cs="Calibri"/>
          <w:sz w:val="22"/>
          <w:szCs w:val="22"/>
          <w:lang w:val="en-US"/>
        </w:rPr>
        <w:t>(vasodilator)</w:t>
      </w:r>
      <w:r w:rsidR="004F4624" w:rsidRPr="00D43409">
        <w:rPr>
          <w:rFonts w:ascii="Calibri" w:hAnsi="Calibri" w:cs="Calibri"/>
          <w:sz w:val="22"/>
          <w:szCs w:val="22"/>
          <w:lang w:val="en-US"/>
        </w:rPr>
        <w:t xml:space="preserve"> </w:t>
      </w:r>
      <w:r w:rsidRPr="00D43409">
        <w:rPr>
          <w:rFonts w:ascii="Calibri" w:hAnsi="Calibri" w:cs="Calibri"/>
          <w:sz w:val="22"/>
          <w:szCs w:val="22"/>
          <w:lang w:val="en-US"/>
        </w:rPr>
        <w:t xml:space="preserve">which ultimate modulated mucosal blood flow </w:t>
      </w:r>
      <w:r w:rsidR="004F4624" w:rsidRPr="00D43409">
        <w:rPr>
          <w:rFonts w:ascii="Calibri" w:hAnsi="Calibri" w:cs="Calibri"/>
          <w:sz w:val="22"/>
          <w:szCs w:val="22"/>
          <w:lang w:val="en-US"/>
        </w:rPr>
        <w:t xml:space="preserve">(NO formation) </w:t>
      </w:r>
      <w:r w:rsidRPr="00D43409">
        <w:rPr>
          <w:rFonts w:ascii="Calibri" w:hAnsi="Calibri" w:cs="Calibri"/>
          <w:sz w:val="22"/>
          <w:szCs w:val="22"/>
          <w:lang w:val="en-US"/>
        </w:rPr>
        <w:t xml:space="preserve">and mucus secretion </w:t>
      </w:r>
      <w:r w:rsidR="004F4624" w:rsidRPr="00D43409">
        <w:rPr>
          <w:rFonts w:ascii="Calibri" w:hAnsi="Calibri" w:cs="Calibri"/>
          <w:sz w:val="22"/>
          <w:szCs w:val="22"/>
          <w:lang w:val="en-US"/>
        </w:rPr>
        <w:t>(incr HCO3- secretion)</w:t>
      </w:r>
      <w:r w:rsidR="00E11E00" w:rsidRPr="00D43409">
        <w:rPr>
          <w:rFonts w:ascii="Calibri" w:hAnsi="Calibri" w:cs="Calibri"/>
          <w:sz w:val="22"/>
          <w:szCs w:val="22"/>
          <w:lang w:val="en-US"/>
        </w:rPr>
        <w:t xml:space="preserve"> </w:t>
      </w:r>
    </w:p>
    <w:p w14:paraId="76DDDE0C" w14:textId="1089FCBC" w:rsidR="001D7DB7" w:rsidRPr="00D43409" w:rsidRDefault="001D7DB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Shown to be more effective than lansoprazole</w:t>
      </w:r>
      <w:r w:rsidR="00AB343C">
        <w:rPr>
          <w:rFonts w:ascii="Calibri" w:hAnsi="Calibri" w:cs="Calibri"/>
          <w:sz w:val="22"/>
          <w:szCs w:val="22"/>
          <w:lang w:val="en-US"/>
        </w:rPr>
        <w:t xml:space="preserve"> in</w:t>
      </w:r>
      <w:r w:rsidRPr="00D43409">
        <w:rPr>
          <w:rFonts w:ascii="Calibri" w:hAnsi="Calibri" w:cs="Calibri"/>
          <w:sz w:val="22"/>
          <w:szCs w:val="22"/>
          <w:lang w:val="en-US"/>
        </w:rPr>
        <w:t xml:space="preserve"> inhibiting gastric acid in one study</w:t>
      </w:r>
    </w:p>
    <w:p w14:paraId="108C9188" w14:textId="5B171ABA" w:rsidR="001D7DB7" w:rsidRPr="00D43409" w:rsidRDefault="001D7DB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Has mild intestinal protective activity </w:t>
      </w:r>
    </w:p>
    <w:p w14:paraId="0FE83A74" w14:textId="41AF4169" w:rsidR="001D7DB7" w:rsidRPr="00D43409" w:rsidRDefault="001D7DB7"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Adverse effects</w:t>
      </w:r>
    </w:p>
    <w:p w14:paraId="20694051" w14:textId="6BF6A70B" w:rsidR="001D7DB7" w:rsidRPr="00D43409" w:rsidRDefault="001D7DB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Uncommon w/ cimetidine, more so with ranitidine and famotidine </w:t>
      </w:r>
    </w:p>
    <w:p w14:paraId="241C43D2" w14:textId="13130272" w:rsidR="001D7DB7" w:rsidRPr="00D43409" w:rsidRDefault="001D7DB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Apathy, nausea/vomiting, CNS aberrations, </w:t>
      </w:r>
      <w:proofErr w:type="spellStart"/>
      <w:r w:rsidRPr="00D43409">
        <w:rPr>
          <w:rFonts w:ascii="Calibri" w:hAnsi="Calibri" w:cs="Calibri"/>
          <w:sz w:val="22"/>
          <w:szCs w:val="22"/>
          <w:lang w:val="en-US"/>
        </w:rPr>
        <w:t>cytopenias</w:t>
      </w:r>
      <w:proofErr w:type="spellEnd"/>
      <w:r w:rsidRPr="00D43409">
        <w:rPr>
          <w:rFonts w:ascii="Calibri" w:hAnsi="Calibri" w:cs="Calibri"/>
          <w:sz w:val="22"/>
          <w:szCs w:val="22"/>
          <w:lang w:val="en-US"/>
        </w:rPr>
        <w:t xml:space="preserve"> </w:t>
      </w:r>
    </w:p>
    <w:p w14:paraId="0FC6EF8D" w14:textId="74ADA68C" w:rsidR="008C39F1" w:rsidRPr="00D43409" w:rsidRDefault="008C39F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Hemolytic anemia reported in cats following IV famotidine, suspect due to benzyl alcohol preservative</w:t>
      </w:r>
    </w:p>
    <w:p w14:paraId="57CEC318" w14:textId="4209DEA9" w:rsidR="00863CE3" w:rsidRPr="00D43409" w:rsidRDefault="00863CE3"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color w:val="000000"/>
          <w:sz w:val="22"/>
          <w:szCs w:val="22"/>
          <w:lang w:val="en-US"/>
        </w:rPr>
        <w:t>Cimetidine can be used to decrease metabolism of Acetaminophen toxicity due to inhibition of hepatic P-450.</w:t>
      </w:r>
    </w:p>
    <w:p w14:paraId="168D4016" w14:textId="76D48917" w:rsidR="008C39F1" w:rsidRPr="00D43409" w:rsidRDefault="008C39F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Repeat administration can lead to tolerance </w:t>
      </w:r>
    </w:p>
    <w:tbl>
      <w:tblPr>
        <w:tblStyle w:val="TableGrid"/>
        <w:tblW w:w="0" w:type="auto"/>
        <w:tblInd w:w="720" w:type="dxa"/>
        <w:tblLook w:val="04A0" w:firstRow="1" w:lastRow="0" w:firstColumn="1" w:lastColumn="0" w:noHBand="0" w:noVBand="1"/>
      </w:tblPr>
      <w:tblGrid>
        <w:gridCol w:w="1430"/>
        <w:gridCol w:w="4805"/>
      </w:tblGrid>
      <w:tr w:rsidR="00C325FE" w:rsidRPr="00D43409" w14:paraId="1DB566FC" w14:textId="77777777" w:rsidTr="00C325FE">
        <w:tc>
          <w:tcPr>
            <w:tcW w:w="1430" w:type="dxa"/>
          </w:tcPr>
          <w:p w14:paraId="26CD7526" w14:textId="3412723C"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Cimetidine</w:t>
            </w:r>
          </w:p>
        </w:tc>
        <w:tc>
          <w:tcPr>
            <w:tcW w:w="4805" w:type="dxa"/>
          </w:tcPr>
          <w:p w14:paraId="3313E7EE" w14:textId="42B535CC"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5-01mg/kg IV, IM, SQ, PO q6-h</w:t>
            </w:r>
          </w:p>
        </w:tc>
      </w:tr>
      <w:tr w:rsidR="00C325FE" w:rsidRPr="00D43409" w14:paraId="140CC99A" w14:textId="77777777" w:rsidTr="00C325FE">
        <w:tc>
          <w:tcPr>
            <w:tcW w:w="1430" w:type="dxa"/>
          </w:tcPr>
          <w:p w14:paraId="533C9D00" w14:textId="3CDDB052"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Ranitidine</w:t>
            </w:r>
          </w:p>
        </w:tc>
        <w:tc>
          <w:tcPr>
            <w:tcW w:w="4805" w:type="dxa"/>
          </w:tcPr>
          <w:p w14:paraId="1FC21222" w14:textId="77777777"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Dogs: 0.5-2mg/kg IV, or 1-4mg/kg PO q8-12h</w:t>
            </w:r>
          </w:p>
          <w:p w14:paraId="575FDF77" w14:textId="3A528D79"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Cats: 2.5mg/kg IV or 3.5mg/kg PO q8-12h</w:t>
            </w:r>
          </w:p>
        </w:tc>
      </w:tr>
      <w:tr w:rsidR="00C325FE" w:rsidRPr="00D43409" w14:paraId="4DFB259F" w14:textId="77777777" w:rsidTr="00C325FE">
        <w:tc>
          <w:tcPr>
            <w:tcW w:w="1430" w:type="dxa"/>
          </w:tcPr>
          <w:p w14:paraId="499EC59A" w14:textId="0C0A21C5"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Famotidine</w:t>
            </w:r>
          </w:p>
        </w:tc>
        <w:tc>
          <w:tcPr>
            <w:tcW w:w="4805" w:type="dxa"/>
          </w:tcPr>
          <w:p w14:paraId="6B0F88AC" w14:textId="7BBE28A0"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0.5-1mg/kg IV, IM, SQ, PO q12-24h</w:t>
            </w:r>
          </w:p>
        </w:tc>
      </w:tr>
      <w:tr w:rsidR="00C325FE" w:rsidRPr="00D43409" w14:paraId="21199049" w14:textId="77777777" w:rsidTr="00C325FE">
        <w:tc>
          <w:tcPr>
            <w:tcW w:w="1430" w:type="dxa"/>
          </w:tcPr>
          <w:p w14:paraId="36DF1769" w14:textId="49298CD1"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Nizatidine</w:t>
            </w:r>
          </w:p>
        </w:tc>
        <w:tc>
          <w:tcPr>
            <w:tcW w:w="4805" w:type="dxa"/>
          </w:tcPr>
          <w:p w14:paraId="2791D809" w14:textId="06699924" w:rsidR="00C325FE" w:rsidRPr="00D43409" w:rsidRDefault="00C325FE" w:rsidP="006F6801">
            <w:pPr>
              <w:spacing w:line="360" w:lineRule="auto"/>
              <w:rPr>
                <w:rFonts w:ascii="Calibri" w:hAnsi="Calibri" w:cs="Calibri"/>
                <w:sz w:val="22"/>
                <w:szCs w:val="22"/>
                <w:lang w:val="en-US"/>
              </w:rPr>
            </w:pPr>
            <w:r w:rsidRPr="00D43409">
              <w:rPr>
                <w:rFonts w:ascii="Calibri" w:hAnsi="Calibri" w:cs="Calibri"/>
                <w:sz w:val="22"/>
                <w:szCs w:val="22"/>
                <w:lang w:val="en-US"/>
              </w:rPr>
              <w:t>2.5-5 mg/kg PO q12h</w:t>
            </w:r>
          </w:p>
        </w:tc>
      </w:tr>
    </w:tbl>
    <w:p w14:paraId="1EF4CA4B" w14:textId="3F844139" w:rsidR="00016F61" w:rsidRPr="00D43409" w:rsidRDefault="00016F61" w:rsidP="006F6801">
      <w:pPr>
        <w:pStyle w:val="ListParagraph"/>
        <w:spacing w:line="360" w:lineRule="auto"/>
        <w:rPr>
          <w:rFonts w:ascii="Calibri" w:hAnsi="Calibri" w:cs="Calibri"/>
          <w:sz w:val="22"/>
          <w:szCs w:val="22"/>
          <w:lang w:val="en-US"/>
        </w:rPr>
      </w:pPr>
    </w:p>
    <w:p w14:paraId="135B1E11" w14:textId="59157F17" w:rsidR="00412F4C" w:rsidRPr="00D43409" w:rsidRDefault="00412F4C" w:rsidP="006F6801">
      <w:pPr>
        <w:pStyle w:val="ListParagraph"/>
        <w:numPr>
          <w:ilvl w:val="0"/>
          <w:numId w:val="4"/>
        </w:numPr>
        <w:spacing w:line="360" w:lineRule="auto"/>
        <w:rPr>
          <w:rFonts w:ascii="Calibri" w:hAnsi="Calibri" w:cs="Calibri"/>
          <w:b/>
          <w:sz w:val="22"/>
          <w:szCs w:val="22"/>
          <w:lang w:val="en-US"/>
        </w:rPr>
      </w:pPr>
      <w:r w:rsidRPr="00D43409">
        <w:rPr>
          <w:rFonts w:ascii="Calibri" w:hAnsi="Calibri" w:cs="Calibri"/>
          <w:b/>
          <w:sz w:val="22"/>
          <w:szCs w:val="22"/>
          <w:lang w:val="en-US"/>
        </w:rPr>
        <w:t>Protein Pump Inhibitors (PPIs)</w:t>
      </w:r>
    </w:p>
    <w:p w14:paraId="0C2BE8C5" w14:textId="4E37B9BA" w:rsidR="00307737" w:rsidRPr="00D43409" w:rsidRDefault="00CE595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Omeprazole, lansoprazole, pantoprazole, esomeprazole, </w:t>
      </w:r>
      <w:proofErr w:type="spellStart"/>
      <w:r w:rsidRPr="00D43409">
        <w:rPr>
          <w:rFonts w:ascii="Calibri" w:hAnsi="Calibri" w:cs="Calibri"/>
          <w:sz w:val="22"/>
          <w:szCs w:val="22"/>
          <w:lang w:val="en-US"/>
        </w:rPr>
        <w:t>dexlanoprazole</w:t>
      </w:r>
      <w:proofErr w:type="spellEnd"/>
      <w:r w:rsidRPr="00D43409">
        <w:rPr>
          <w:rFonts w:ascii="Calibri" w:hAnsi="Calibri" w:cs="Calibri"/>
          <w:sz w:val="22"/>
          <w:szCs w:val="22"/>
          <w:lang w:val="en-US"/>
        </w:rPr>
        <w:t xml:space="preserve"> </w:t>
      </w:r>
    </w:p>
    <w:p w14:paraId="475A1F9A" w14:textId="41A5A5A9" w:rsidR="00E41BCA" w:rsidRPr="00D43409" w:rsidRDefault="00E41BCA"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irreversibly inhibit hydrogen-potassium adenosine triphosphate on the luminal side of the parietal cell, stopping secretion of H+ into the gastric lumen </w:t>
      </w:r>
    </w:p>
    <w:p w14:paraId="30EC04C2" w14:textId="3A76FFF0" w:rsidR="000F3FB8" w:rsidRPr="00D43409" w:rsidRDefault="000F3FB8"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Lansoprazole, esomeprazole and pantoprazole can be given IV </w:t>
      </w:r>
    </w:p>
    <w:p w14:paraId="2C39A2C7" w14:textId="26F3AC20" w:rsidR="00442BF2" w:rsidRPr="00D43409" w:rsidRDefault="00664864"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Reaches 30% of maximal effect in 24 hr, then m</w:t>
      </w:r>
      <w:r w:rsidR="00005065" w:rsidRPr="00D43409">
        <w:rPr>
          <w:rFonts w:ascii="Calibri" w:hAnsi="Calibri" w:cs="Calibri"/>
          <w:sz w:val="22"/>
          <w:szCs w:val="22"/>
          <w:lang w:val="en-US"/>
        </w:rPr>
        <w:t>aximal acid su</w:t>
      </w:r>
      <w:r w:rsidRPr="00D43409">
        <w:rPr>
          <w:rFonts w:ascii="Calibri" w:hAnsi="Calibri" w:cs="Calibri"/>
          <w:sz w:val="22"/>
          <w:szCs w:val="22"/>
          <w:lang w:val="en-US"/>
        </w:rPr>
        <w:t>ppression occurs 2-5 days</w:t>
      </w:r>
    </w:p>
    <w:p w14:paraId="0075AD7A" w14:textId="1FDBF26B" w:rsidR="00215251" w:rsidRPr="00D43409" w:rsidRDefault="0021525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Omeprazole is a prodrug, therefore made in enteric-coated granules to allow for duodenal absorption </w:t>
      </w:r>
    </w:p>
    <w:p w14:paraId="2A703D7D" w14:textId="77777777" w:rsidR="00AF18BA" w:rsidRPr="00D43409" w:rsidRDefault="00AF18B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Metabolism: </w:t>
      </w:r>
    </w:p>
    <w:p w14:paraId="5E312EC4" w14:textId="39919897" w:rsidR="00215251" w:rsidRPr="00D43409" w:rsidRDefault="007020E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Administer</w:t>
      </w:r>
      <w:r w:rsidR="00743339" w:rsidRPr="00D43409">
        <w:rPr>
          <w:rFonts w:ascii="Calibri" w:hAnsi="Calibri" w:cs="Calibri"/>
          <w:sz w:val="22"/>
          <w:szCs w:val="22"/>
          <w:lang w:val="en-US"/>
        </w:rPr>
        <w:t xml:space="preserve"> </w:t>
      </w:r>
      <w:r w:rsidRPr="00D43409">
        <w:rPr>
          <w:rFonts w:ascii="Calibri" w:hAnsi="Calibri" w:cs="Calibri"/>
          <w:sz w:val="22"/>
          <w:szCs w:val="22"/>
          <w:lang w:val="en-US"/>
        </w:rPr>
        <w:t xml:space="preserve">Omeprazole </w:t>
      </w:r>
      <w:r w:rsidR="00BE4A1E">
        <w:rPr>
          <w:rFonts w:ascii="Calibri" w:hAnsi="Calibri" w:cs="Calibri"/>
          <w:sz w:val="22"/>
          <w:szCs w:val="22"/>
          <w:lang w:val="en-US"/>
        </w:rPr>
        <w:t>1 hour prior to feeding</w:t>
      </w:r>
      <w:r w:rsidR="00743339" w:rsidRPr="00D43409">
        <w:rPr>
          <w:rFonts w:ascii="Calibri" w:hAnsi="Calibri" w:cs="Calibri"/>
          <w:sz w:val="22"/>
          <w:szCs w:val="22"/>
          <w:lang w:val="en-US"/>
        </w:rPr>
        <w:t xml:space="preserve"> </w:t>
      </w:r>
      <w:r w:rsidR="00AF18BA" w:rsidRPr="00D43409">
        <w:rPr>
          <w:rFonts w:ascii="Calibri" w:hAnsi="Calibri" w:cs="Calibri"/>
          <w:sz w:val="22"/>
          <w:szCs w:val="22"/>
          <w:lang w:val="en-US"/>
        </w:rPr>
        <w:t>as f</w:t>
      </w:r>
      <w:r w:rsidR="00215251" w:rsidRPr="00D43409">
        <w:rPr>
          <w:rFonts w:ascii="Calibri" w:hAnsi="Calibri" w:cs="Calibri"/>
          <w:sz w:val="22"/>
          <w:szCs w:val="22"/>
          <w:lang w:val="en-US"/>
        </w:rPr>
        <w:t>ood reduces absorption</w:t>
      </w:r>
    </w:p>
    <w:p w14:paraId="53EFA4D9" w14:textId="5380EC10" w:rsidR="00215251" w:rsidRPr="00D43409" w:rsidRDefault="0021525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Undergoes 1</w:t>
      </w:r>
      <w:r w:rsidRPr="00D43409">
        <w:rPr>
          <w:rFonts w:ascii="Calibri" w:hAnsi="Calibri" w:cs="Calibri"/>
          <w:sz w:val="22"/>
          <w:szCs w:val="22"/>
          <w:vertAlign w:val="superscript"/>
          <w:lang w:val="en-US"/>
        </w:rPr>
        <w:t>st</w:t>
      </w:r>
      <w:r w:rsidRPr="00D43409">
        <w:rPr>
          <w:rFonts w:ascii="Calibri" w:hAnsi="Calibri" w:cs="Calibri"/>
          <w:sz w:val="22"/>
          <w:szCs w:val="22"/>
          <w:lang w:val="en-US"/>
        </w:rPr>
        <w:t xml:space="preserve"> pass hepatic metabolism, and the rest if selectively sequestered in the acidic environment of parietal</w:t>
      </w:r>
      <w:r w:rsidR="006E2634">
        <w:rPr>
          <w:rFonts w:ascii="Calibri" w:hAnsi="Calibri" w:cs="Calibri"/>
          <w:sz w:val="22"/>
          <w:szCs w:val="22"/>
          <w:lang w:val="en-US"/>
        </w:rPr>
        <w:t xml:space="preserve"> cell</w:t>
      </w:r>
      <w:r w:rsidRPr="00D43409">
        <w:rPr>
          <w:rFonts w:ascii="Calibri" w:hAnsi="Calibri" w:cs="Calibri"/>
          <w:sz w:val="22"/>
          <w:szCs w:val="22"/>
          <w:lang w:val="en-US"/>
        </w:rPr>
        <w:t xml:space="preserve"> where it is transformed to the active form </w:t>
      </w:r>
    </w:p>
    <w:p w14:paraId="555E6853" w14:textId="00ABE4B1" w:rsidR="00AF18BA" w:rsidRPr="00D43409" w:rsidRDefault="00AF18B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Irreversible proton pump inhibition, progressive intracellular acidifi</w:t>
      </w:r>
      <w:r w:rsidR="00B872DB">
        <w:rPr>
          <w:rFonts w:ascii="Calibri" w:hAnsi="Calibri" w:cs="Calibri"/>
          <w:sz w:val="22"/>
          <w:szCs w:val="22"/>
          <w:lang w:val="en-US"/>
        </w:rPr>
        <w:t xml:space="preserve">cation, and drug accumulation are </w:t>
      </w:r>
      <w:r w:rsidRPr="00D43409">
        <w:rPr>
          <w:rFonts w:ascii="Calibri" w:hAnsi="Calibri" w:cs="Calibri"/>
          <w:sz w:val="22"/>
          <w:szCs w:val="22"/>
          <w:lang w:val="en-US"/>
        </w:rPr>
        <w:t>why PPIs are more potent than H2RAs</w:t>
      </w:r>
    </w:p>
    <w:p w14:paraId="5CD77393" w14:textId="6A23570F" w:rsidR="00764BBB" w:rsidRPr="00D43409" w:rsidRDefault="00764BBB"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Interactions:</w:t>
      </w:r>
    </w:p>
    <w:p w14:paraId="5079C264" w14:textId="42AF0273" w:rsidR="00764BBB" w:rsidRPr="00D43409" w:rsidRDefault="00764BB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Omeprazole and esomeprazole inhibit </w:t>
      </w:r>
      <w:r w:rsidR="00AE5667" w:rsidRPr="00D43409">
        <w:rPr>
          <w:rFonts w:ascii="Calibri" w:hAnsi="Calibri" w:cs="Calibri"/>
          <w:sz w:val="22"/>
          <w:szCs w:val="22"/>
          <w:lang w:val="en-US"/>
        </w:rPr>
        <w:t>hepatic cytochrome P450 enzymes</w:t>
      </w:r>
    </w:p>
    <w:p w14:paraId="79DC2E90" w14:textId="69414D6D" w:rsidR="00BB78BA" w:rsidRPr="00D43409" w:rsidRDefault="00BB78B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color w:val="000000"/>
          <w:sz w:val="22"/>
          <w:szCs w:val="22"/>
          <w:lang w:val="en-US"/>
        </w:rPr>
        <w:t>Altered bioavailability via pH change:</w:t>
      </w:r>
      <w:r w:rsidRPr="00D43409">
        <w:rPr>
          <w:rFonts w:ascii="Calibri" w:hAnsi="Calibri" w:cs="Calibri"/>
          <w:sz w:val="22"/>
          <w:szCs w:val="22"/>
        </w:rPr>
        <w:t xml:space="preserve"> </w:t>
      </w:r>
      <w:r w:rsidR="00927838" w:rsidRPr="00D43409">
        <w:rPr>
          <w:rFonts w:ascii="Calibri" w:hAnsi="Calibri" w:cs="Calibri"/>
          <w:color w:val="000000"/>
          <w:sz w:val="22"/>
          <w:szCs w:val="22"/>
          <w:lang w:val="en-US"/>
        </w:rPr>
        <w:t>ketoconazole</w:t>
      </w:r>
      <w:r w:rsidRPr="00D43409">
        <w:rPr>
          <w:rFonts w:ascii="Calibri" w:hAnsi="Calibri" w:cs="Calibri"/>
          <w:color w:val="000000"/>
          <w:sz w:val="22"/>
          <w:szCs w:val="22"/>
          <w:lang w:val="en-US"/>
        </w:rPr>
        <w:t>, digoxin, iron salts, ampicillin esters</w:t>
      </w:r>
    </w:p>
    <w:p w14:paraId="283927C9" w14:textId="06968FFE" w:rsidR="00BB78BA" w:rsidRPr="00D43409" w:rsidRDefault="00BB78B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Altered metabolism via P450 inhibition: </w:t>
      </w:r>
      <w:r w:rsidR="00927838" w:rsidRPr="00D43409">
        <w:rPr>
          <w:rFonts w:ascii="Calibri" w:hAnsi="Calibri" w:cs="Calibri"/>
          <w:sz w:val="22"/>
          <w:szCs w:val="22"/>
          <w:lang w:val="en-US"/>
        </w:rPr>
        <w:t>cyclosporine</w:t>
      </w:r>
      <w:r w:rsidRPr="00D43409">
        <w:rPr>
          <w:rFonts w:ascii="Calibri" w:hAnsi="Calibri" w:cs="Calibri"/>
          <w:sz w:val="22"/>
          <w:szCs w:val="22"/>
          <w:lang w:val="en-US"/>
        </w:rPr>
        <w:t xml:space="preserve">, diazepam, phenytoin, warfarin, theophylline, propranolol, </w:t>
      </w:r>
      <w:r w:rsidR="00927838" w:rsidRPr="00D43409">
        <w:rPr>
          <w:rFonts w:ascii="Calibri" w:hAnsi="Calibri" w:cs="Calibri"/>
          <w:sz w:val="22"/>
          <w:szCs w:val="22"/>
          <w:lang w:val="en-US"/>
        </w:rPr>
        <w:t>Clopidogrel</w:t>
      </w:r>
    </w:p>
    <w:p w14:paraId="252EC874" w14:textId="0EF3560F" w:rsidR="007020E2" w:rsidRPr="00D43409" w:rsidRDefault="00EB7CAE"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Adverse effects:</w:t>
      </w:r>
    </w:p>
    <w:p w14:paraId="11E1E2D9" w14:textId="54D079A4" w:rsidR="00764BBB" w:rsidRPr="00D43409" w:rsidRDefault="006748A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Rare </w:t>
      </w:r>
      <w:r w:rsidR="00764BBB" w:rsidRPr="00D43409">
        <w:rPr>
          <w:rFonts w:ascii="Calibri" w:hAnsi="Calibri" w:cs="Calibri"/>
          <w:sz w:val="22"/>
          <w:szCs w:val="22"/>
          <w:lang w:val="en-US"/>
        </w:rPr>
        <w:t>overall</w:t>
      </w:r>
    </w:p>
    <w:p w14:paraId="2254DC46" w14:textId="22B782BB" w:rsidR="00091491" w:rsidRPr="00D43409" w:rsidRDefault="0009149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Hypersensitivity rx reported in humans </w:t>
      </w:r>
    </w:p>
    <w:p w14:paraId="2C931C75" w14:textId="14C51C36" w:rsidR="00091491" w:rsidRPr="00D43409" w:rsidRDefault="00BD4C4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Omeprazole may cause diarrhea, dose-dependent inhibition of CNS fluid </w:t>
      </w:r>
    </w:p>
    <w:p w14:paraId="68D800D5" w14:textId="521FCAF9" w:rsidR="00BD4C4B" w:rsidRDefault="00BD4C4B"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Pantoprazole have strong activity vs Giardia and Trichomonas in vitro</w:t>
      </w:r>
    </w:p>
    <w:p w14:paraId="362493E1" w14:textId="77777777" w:rsidR="00B66C15" w:rsidRPr="00B66C15" w:rsidRDefault="00B66C15" w:rsidP="00B66C15">
      <w:pPr>
        <w:spacing w:line="360" w:lineRule="auto"/>
        <w:rPr>
          <w:rFonts w:ascii="Calibri" w:hAnsi="Calibri" w:cs="Calibri"/>
          <w:sz w:val="22"/>
          <w:szCs w:val="22"/>
          <w:lang w:val="en-US"/>
        </w:rPr>
      </w:pPr>
    </w:p>
    <w:p w14:paraId="281AE786" w14:textId="60209367" w:rsidR="00DC2F8F" w:rsidRPr="00D43409" w:rsidRDefault="00DC2F8F" w:rsidP="006F6801">
      <w:pPr>
        <w:spacing w:line="360" w:lineRule="auto"/>
        <w:jc w:val="center"/>
        <w:rPr>
          <w:rFonts w:ascii="Calibri" w:hAnsi="Calibri" w:cs="Calibri"/>
          <w:sz w:val="22"/>
          <w:szCs w:val="22"/>
          <w:lang w:val="en-US"/>
        </w:rPr>
      </w:pPr>
      <w:r w:rsidRPr="00D43409">
        <w:rPr>
          <w:rFonts w:ascii="Calibri" w:hAnsi="Calibri" w:cs="Calibri"/>
          <w:noProof/>
          <w:sz w:val="22"/>
          <w:szCs w:val="22"/>
        </w:rPr>
        <w:drawing>
          <wp:inline distT="0" distB="0" distL="0" distR="0" wp14:anchorId="5CC3C8FB" wp14:editId="5E023AF8">
            <wp:extent cx="5731261" cy="385635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5207" cy="3859010"/>
                    </a:xfrm>
                    <a:prstGeom prst="rect">
                      <a:avLst/>
                    </a:prstGeom>
                  </pic:spPr>
                </pic:pic>
              </a:graphicData>
            </a:graphic>
          </wp:inline>
        </w:drawing>
      </w:r>
    </w:p>
    <w:p w14:paraId="361A4A93" w14:textId="274E462F" w:rsidR="00BF7E8A" w:rsidRDefault="00DC2F8F" w:rsidP="00BF7E8A">
      <w:pPr>
        <w:spacing w:line="360" w:lineRule="auto"/>
        <w:jc w:val="center"/>
        <w:rPr>
          <w:rFonts w:ascii="Calibri" w:hAnsi="Calibri" w:cs="Calibri"/>
          <w:sz w:val="22"/>
          <w:szCs w:val="22"/>
          <w:lang w:val="en-US"/>
        </w:rPr>
      </w:pPr>
      <w:r w:rsidRPr="00D43409">
        <w:rPr>
          <w:rFonts w:ascii="Calibri" w:hAnsi="Calibri" w:cs="Calibri"/>
          <w:noProof/>
          <w:sz w:val="22"/>
          <w:szCs w:val="22"/>
        </w:rPr>
        <w:lastRenderedPageBreak/>
        <w:drawing>
          <wp:inline distT="0" distB="0" distL="0" distR="0" wp14:anchorId="42556597" wp14:editId="61271C8F">
            <wp:extent cx="5943600" cy="35775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577590"/>
                    </a:xfrm>
                    <a:prstGeom prst="rect">
                      <a:avLst/>
                    </a:prstGeom>
                  </pic:spPr>
                </pic:pic>
              </a:graphicData>
            </a:graphic>
          </wp:inline>
        </w:drawing>
      </w:r>
    </w:p>
    <w:p w14:paraId="56226A5D" w14:textId="77777777" w:rsidR="00BF7E8A" w:rsidRPr="00BF7E8A" w:rsidRDefault="00BF7E8A" w:rsidP="00B66C15">
      <w:pPr>
        <w:spacing w:line="360" w:lineRule="auto"/>
        <w:rPr>
          <w:rFonts w:ascii="Calibri" w:hAnsi="Calibri" w:cs="Calibri"/>
          <w:sz w:val="22"/>
          <w:szCs w:val="22"/>
          <w:lang w:val="en-US"/>
        </w:rPr>
      </w:pPr>
    </w:p>
    <w:p w14:paraId="4C8F8C22" w14:textId="25948F94" w:rsidR="00E10D68" w:rsidRPr="00BF7E8A" w:rsidRDefault="00E10D68"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color w:val="000000"/>
          <w:sz w:val="22"/>
          <w:szCs w:val="22"/>
          <w:lang w:val="en-US"/>
        </w:rPr>
        <w:t xml:space="preserve">Current Literature: </w:t>
      </w:r>
    </w:p>
    <w:p w14:paraId="67FA0E0B" w14:textId="77777777" w:rsidR="007C3CBB" w:rsidRPr="00D43409" w:rsidRDefault="007C3CBB" w:rsidP="007C3CBB">
      <w:pPr>
        <w:pStyle w:val="ListParagraph"/>
        <w:numPr>
          <w:ilvl w:val="1"/>
          <w:numId w:val="2"/>
        </w:numPr>
        <w:spacing w:line="360" w:lineRule="auto"/>
        <w:rPr>
          <w:rFonts w:ascii="Calibri" w:hAnsi="Calibri" w:cs="Calibri"/>
          <w:i/>
          <w:sz w:val="22"/>
          <w:szCs w:val="22"/>
          <w:lang w:val="en-US"/>
        </w:rPr>
      </w:pPr>
      <w:r w:rsidRPr="00D43409">
        <w:rPr>
          <w:rFonts w:ascii="Calibri" w:hAnsi="Calibri" w:cs="Calibri"/>
          <w:sz w:val="22"/>
          <w:szCs w:val="22"/>
          <w:lang w:val="en-US"/>
        </w:rPr>
        <w:t>In dogs, pantoprazole IV alone was superior to combination of famotidine plus pantoprazole.  Same study also suggested to use PPI q12hr rather than q24hr (Tolbert et al. 2015)</w:t>
      </w:r>
    </w:p>
    <w:p w14:paraId="4F54D956" w14:textId="38018922" w:rsidR="00E10D68" w:rsidRPr="00D43409" w:rsidRDefault="00E10D68"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In cats, documented increase in gastric pH after 4-7 days of 1.1-1.3mg/kg Omeprazole PO q12hr</w:t>
      </w:r>
      <w:r w:rsidR="00CE4C1D" w:rsidRPr="00D43409">
        <w:rPr>
          <w:rFonts w:ascii="Calibri" w:hAnsi="Calibri" w:cs="Calibri"/>
          <w:sz w:val="22"/>
          <w:szCs w:val="22"/>
          <w:lang w:val="en-US"/>
        </w:rPr>
        <w:t xml:space="preserve"> (</w:t>
      </w:r>
      <w:proofErr w:type="spellStart"/>
      <w:r w:rsidR="00CE4C1D" w:rsidRPr="00D43409">
        <w:rPr>
          <w:rFonts w:ascii="Calibri" w:hAnsi="Calibri" w:cs="Calibri"/>
          <w:sz w:val="22"/>
          <w:szCs w:val="22"/>
          <w:lang w:val="en-US"/>
        </w:rPr>
        <w:t>Šutalo</w:t>
      </w:r>
      <w:proofErr w:type="spellEnd"/>
      <w:r w:rsidR="00CE4C1D" w:rsidRPr="00D43409">
        <w:rPr>
          <w:rFonts w:ascii="Calibri" w:hAnsi="Calibri" w:cs="Calibri"/>
          <w:sz w:val="22"/>
          <w:szCs w:val="22"/>
          <w:lang w:val="en-US"/>
        </w:rPr>
        <w:t xml:space="preserve"> et al. 2015)</w:t>
      </w:r>
    </w:p>
    <w:p w14:paraId="1ED666C3" w14:textId="5630AF10" w:rsidR="00E10D68" w:rsidRPr="00D43409" w:rsidRDefault="00E10D68" w:rsidP="006F6801">
      <w:pPr>
        <w:spacing w:line="360" w:lineRule="auto"/>
        <w:ind w:firstLine="720"/>
        <w:rPr>
          <w:rFonts w:ascii="Calibri" w:hAnsi="Calibri" w:cs="Calibri"/>
          <w:i/>
          <w:sz w:val="22"/>
          <w:szCs w:val="22"/>
          <w:lang w:val="en-US"/>
        </w:rPr>
      </w:pPr>
      <w:r w:rsidRPr="00D43409">
        <w:rPr>
          <w:rFonts w:ascii="Calibri" w:hAnsi="Calibri" w:cs="Calibri"/>
          <w:i/>
          <w:sz w:val="22"/>
          <w:szCs w:val="22"/>
          <w:lang w:val="en-US"/>
        </w:rPr>
        <w:t>Dosages:</w:t>
      </w:r>
    </w:p>
    <w:tbl>
      <w:tblPr>
        <w:tblStyle w:val="TableGrid"/>
        <w:tblW w:w="0" w:type="auto"/>
        <w:tblInd w:w="720" w:type="dxa"/>
        <w:tblLook w:val="04A0" w:firstRow="1" w:lastRow="0" w:firstColumn="1" w:lastColumn="0" w:noHBand="0" w:noVBand="1"/>
      </w:tblPr>
      <w:tblGrid>
        <w:gridCol w:w="1756"/>
        <w:gridCol w:w="2303"/>
      </w:tblGrid>
      <w:tr w:rsidR="00063029" w:rsidRPr="00D43409" w14:paraId="3F509655" w14:textId="77777777" w:rsidTr="00B8092A">
        <w:tc>
          <w:tcPr>
            <w:tcW w:w="1756" w:type="dxa"/>
          </w:tcPr>
          <w:p w14:paraId="5C47C3B1" w14:textId="7C33FF12"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Omeprazole</w:t>
            </w:r>
          </w:p>
        </w:tc>
        <w:tc>
          <w:tcPr>
            <w:tcW w:w="2303" w:type="dxa"/>
          </w:tcPr>
          <w:p w14:paraId="482B4706" w14:textId="71CD5FEE"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1-2 mg/kg PO q12h</w:t>
            </w:r>
          </w:p>
        </w:tc>
      </w:tr>
      <w:tr w:rsidR="00063029" w:rsidRPr="00D43409" w14:paraId="427E2951" w14:textId="77777777" w:rsidTr="00B8092A">
        <w:tc>
          <w:tcPr>
            <w:tcW w:w="1756" w:type="dxa"/>
          </w:tcPr>
          <w:p w14:paraId="11A41CF7" w14:textId="6EE61A2E"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Pantoprazole</w:t>
            </w:r>
          </w:p>
        </w:tc>
        <w:tc>
          <w:tcPr>
            <w:tcW w:w="2303" w:type="dxa"/>
          </w:tcPr>
          <w:p w14:paraId="5FF7DA4A" w14:textId="0C874622"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1mg/kg IV q12h</w:t>
            </w:r>
          </w:p>
        </w:tc>
      </w:tr>
      <w:tr w:rsidR="00063029" w:rsidRPr="00D43409" w14:paraId="1A7B0322" w14:textId="77777777" w:rsidTr="00B8092A">
        <w:tc>
          <w:tcPr>
            <w:tcW w:w="1756" w:type="dxa"/>
          </w:tcPr>
          <w:p w14:paraId="7D03D97F" w14:textId="3C9A3DB9"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 xml:space="preserve">Esomeprazole </w:t>
            </w:r>
          </w:p>
        </w:tc>
        <w:tc>
          <w:tcPr>
            <w:tcW w:w="2303" w:type="dxa"/>
          </w:tcPr>
          <w:p w14:paraId="17BBCB82" w14:textId="503F2DFA"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0.5-1mg/kg IV q24h</w:t>
            </w:r>
          </w:p>
        </w:tc>
      </w:tr>
      <w:tr w:rsidR="00BA21E0" w:rsidRPr="00D43409" w14:paraId="2909AD04" w14:textId="77777777" w:rsidTr="00B8092A">
        <w:tc>
          <w:tcPr>
            <w:tcW w:w="1756" w:type="dxa"/>
          </w:tcPr>
          <w:p w14:paraId="20BA51FC" w14:textId="733F4A91"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Lansoprazole</w:t>
            </w:r>
          </w:p>
        </w:tc>
        <w:tc>
          <w:tcPr>
            <w:tcW w:w="2303" w:type="dxa"/>
          </w:tcPr>
          <w:p w14:paraId="26E7E35A" w14:textId="5E1C8DE4" w:rsidR="00BA21E0" w:rsidRPr="00D43409" w:rsidRDefault="00BA21E0" w:rsidP="006F6801">
            <w:pPr>
              <w:pStyle w:val="ListParagraph"/>
              <w:spacing w:line="360" w:lineRule="auto"/>
              <w:ind w:left="0"/>
              <w:rPr>
                <w:rFonts w:ascii="Calibri" w:hAnsi="Calibri" w:cs="Calibri"/>
                <w:sz w:val="22"/>
                <w:szCs w:val="22"/>
                <w:lang w:val="en-US"/>
              </w:rPr>
            </w:pPr>
            <w:r w:rsidRPr="00D43409">
              <w:rPr>
                <w:rFonts w:ascii="Calibri" w:hAnsi="Calibri" w:cs="Calibri"/>
                <w:sz w:val="22"/>
                <w:szCs w:val="22"/>
                <w:lang w:val="en-US"/>
              </w:rPr>
              <w:t>1mg/kg IV q24h</w:t>
            </w:r>
          </w:p>
        </w:tc>
      </w:tr>
    </w:tbl>
    <w:p w14:paraId="7686A1E2" w14:textId="77777777" w:rsidR="00AF47FE" w:rsidRPr="00AF47FE" w:rsidRDefault="00AF47FE" w:rsidP="00AF47FE">
      <w:pPr>
        <w:spacing w:line="360" w:lineRule="auto"/>
        <w:rPr>
          <w:rFonts w:ascii="Calibri" w:hAnsi="Calibri" w:cs="Calibri"/>
          <w:sz w:val="22"/>
          <w:szCs w:val="22"/>
          <w:lang w:val="en-US"/>
        </w:rPr>
      </w:pPr>
    </w:p>
    <w:p w14:paraId="6CAB23DE" w14:textId="10C0FA1D" w:rsidR="00AF47FE" w:rsidRDefault="00AF47FE" w:rsidP="00AF47FE">
      <w:pPr>
        <w:pStyle w:val="ListParagraph"/>
        <w:numPr>
          <w:ilvl w:val="0"/>
          <w:numId w:val="2"/>
        </w:numPr>
        <w:spacing w:line="360" w:lineRule="auto"/>
        <w:rPr>
          <w:rFonts w:ascii="Calibri" w:hAnsi="Calibri" w:cs="Calibri"/>
          <w:sz w:val="22"/>
          <w:szCs w:val="22"/>
          <w:lang w:val="en-US"/>
        </w:rPr>
      </w:pPr>
      <w:r>
        <w:rPr>
          <w:rFonts w:ascii="Calibri" w:hAnsi="Calibri" w:cs="Calibri"/>
          <w:sz w:val="22"/>
          <w:szCs w:val="22"/>
          <w:lang w:val="en-US"/>
        </w:rPr>
        <w:t>PPI</w:t>
      </w:r>
      <w:r w:rsidR="00D01A49">
        <w:rPr>
          <w:rFonts w:ascii="Calibri" w:hAnsi="Calibri" w:cs="Calibri"/>
          <w:sz w:val="22"/>
          <w:szCs w:val="22"/>
          <w:lang w:val="en-US"/>
        </w:rPr>
        <w:t xml:space="preserve"> and connection to AKI</w:t>
      </w:r>
    </w:p>
    <w:p w14:paraId="38CE50D3" w14:textId="78C247E9" w:rsidR="00DE7EEE" w:rsidRPr="00DE7EEE" w:rsidRDefault="00DE7EEE" w:rsidP="00DE7EEE">
      <w:pPr>
        <w:spacing w:line="360" w:lineRule="auto"/>
        <w:ind w:left="360"/>
        <w:jc w:val="center"/>
        <w:rPr>
          <w:rFonts w:ascii="Calibri" w:hAnsi="Calibri" w:cs="Calibri"/>
          <w:sz w:val="22"/>
          <w:szCs w:val="22"/>
          <w:lang w:val="en-US"/>
        </w:rPr>
      </w:pPr>
      <w:r w:rsidRPr="00DE7EEE">
        <w:rPr>
          <w:lang w:val="en-US"/>
        </w:rPr>
        <w:lastRenderedPageBreak/>
        <w:drawing>
          <wp:inline distT="0" distB="0" distL="0" distR="0" wp14:anchorId="504DA80F" wp14:editId="4C07DB45">
            <wp:extent cx="4669277" cy="4072647"/>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5383" cy="4077973"/>
                    </a:xfrm>
                    <a:prstGeom prst="rect">
                      <a:avLst/>
                    </a:prstGeom>
                  </pic:spPr>
                </pic:pic>
              </a:graphicData>
            </a:graphic>
          </wp:inline>
        </w:drawing>
      </w:r>
    </w:p>
    <w:p w14:paraId="04B61A24" w14:textId="4A45F15A" w:rsidR="00412F4C" w:rsidRPr="00D43409" w:rsidRDefault="00412F4C" w:rsidP="006F6801">
      <w:pPr>
        <w:pStyle w:val="ListParagraph"/>
        <w:numPr>
          <w:ilvl w:val="0"/>
          <w:numId w:val="4"/>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Sucralfate </w:t>
      </w:r>
    </w:p>
    <w:p w14:paraId="7A98D679" w14:textId="20B7945B" w:rsidR="008C10F3" w:rsidRPr="00D43409" w:rsidRDefault="00753F46"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Sucrose</w:t>
      </w:r>
      <w:r w:rsidR="00140C91" w:rsidRPr="00D43409">
        <w:rPr>
          <w:rFonts w:ascii="Calibri" w:hAnsi="Calibri" w:cs="Calibri"/>
          <w:sz w:val="22"/>
          <w:szCs w:val="22"/>
          <w:lang w:val="en-US"/>
        </w:rPr>
        <w:t xml:space="preserve"> </w:t>
      </w:r>
      <w:proofErr w:type="spellStart"/>
      <w:r w:rsidR="00140C91" w:rsidRPr="00D43409">
        <w:rPr>
          <w:rFonts w:ascii="Calibri" w:hAnsi="Calibri" w:cs="Calibri"/>
          <w:sz w:val="22"/>
          <w:szCs w:val="22"/>
          <w:lang w:val="en-US"/>
        </w:rPr>
        <w:t>octasulfate</w:t>
      </w:r>
      <w:proofErr w:type="spellEnd"/>
      <w:r w:rsidRPr="00D43409">
        <w:rPr>
          <w:rFonts w:ascii="Calibri" w:hAnsi="Calibri" w:cs="Calibri"/>
          <w:sz w:val="22"/>
          <w:szCs w:val="22"/>
          <w:lang w:val="en-US"/>
        </w:rPr>
        <w:t xml:space="preserve"> and </w:t>
      </w:r>
      <w:r w:rsidR="00140C91" w:rsidRPr="00D43409">
        <w:rPr>
          <w:rFonts w:ascii="Calibri" w:hAnsi="Calibri" w:cs="Calibri"/>
          <w:sz w:val="22"/>
          <w:szCs w:val="22"/>
          <w:lang w:val="en-US"/>
        </w:rPr>
        <w:t>aluminum</w:t>
      </w:r>
      <w:r w:rsidRPr="00D43409">
        <w:rPr>
          <w:rFonts w:ascii="Calibri" w:hAnsi="Calibri" w:cs="Calibri"/>
          <w:sz w:val="22"/>
          <w:szCs w:val="22"/>
          <w:lang w:val="en-US"/>
        </w:rPr>
        <w:t xml:space="preserve"> hydroxide </w:t>
      </w:r>
    </w:p>
    <w:p w14:paraId="55A1F38B" w14:textId="5F40079C" w:rsidR="00140C91" w:rsidRPr="00D43409" w:rsidRDefault="00140C9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Orally administered and locally acting</w:t>
      </w:r>
    </w:p>
    <w:p w14:paraId="3A879266" w14:textId="5A973A7E" w:rsidR="00CB7D90" w:rsidRPr="00D43409" w:rsidRDefault="00140C9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When drug encounters pH &lt;3-4, </w:t>
      </w:r>
      <w:proofErr w:type="spellStart"/>
      <w:r w:rsidRPr="00D43409">
        <w:rPr>
          <w:rFonts w:ascii="Calibri" w:hAnsi="Calibri" w:cs="Calibri"/>
          <w:sz w:val="22"/>
          <w:szCs w:val="22"/>
          <w:lang w:val="en-US"/>
        </w:rPr>
        <w:t>AlOH</w:t>
      </w:r>
      <w:proofErr w:type="spellEnd"/>
      <w:r w:rsidRPr="00D43409">
        <w:rPr>
          <w:rFonts w:ascii="Calibri" w:hAnsi="Calibri" w:cs="Calibri"/>
          <w:sz w:val="22"/>
          <w:szCs w:val="22"/>
          <w:lang w:val="en-US"/>
        </w:rPr>
        <w:t xml:space="preserve"> disassociates from sucrose </w:t>
      </w:r>
      <w:proofErr w:type="spellStart"/>
      <w:r w:rsidRPr="00D43409">
        <w:rPr>
          <w:rFonts w:ascii="Calibri" w:hAnsi="Calibri" w:cs="Calibri"/>
          <w:sz w:val="22"/>
          <w:szCs w:val="22"/>
          <w:lang w:val="en-US"/>
        </w:rPr>
        <w:t>octasulfate</w:t>
      </w:r>
      <w:proofErr w:type="spellEnd"/>
      <w:r w:rsidRPr="00D43409">
        <w:rPr>
          <w:rFonts w:ascii="Calibri" w:hAnsi="Calibri" w:cs="Calibri"/>
          <w:sz w:val="22"/>
          <w:szCs w:val="22"/>
          <w:lang w:val="en-US"/>
        </w:rPr>
        <w:t xml:space="preserve"> to form a viscous, paste-like negatively charged substance which binds to the </w:t>
      </w:r>
      <w:r w:rsidR="006A501D" w:rsidRPr="00D43409">
        <w:rPr>
          <w:rFonts w:ascii="Calibri" w:hAnsi="Calibri" w:cs="Calibri"/>
          <w:sz w:val="22"/>
          <w:szCs w:val="22"/>
          <w:lang w:val="en-US"/>
        </w:rPr>
        <w:t xml:space="preserve">positively charged epithelial cells </w:t>
      </w:r>
    </w:p>
    <w:p w14:paraId="1A09F5D7" w14:textId="0B28EF5B" w:rsidR="00A75F70" w:rsidRPr="00D43409" w:rsidRDefault="00A75F7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Remains for 6 hours</w:t>
      </w:r>
    </w:p>
    <w:p w14:paraId="4B241AEB" w14:textId="3687FF40" w:rsidR="003306E6" w:rsidRPr="00D43409" w:rsidRDefault="003306E6"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Acidic environment needed to initiate biotransformation, but drug is active in alkaline </w:t>
      </w:r>
      <w:r w:rsidR="00926C02" w:rsidRPr="00D43409">
        <w:rPr>
          <w:rFonts w:ascii="Calibri" w:hAnsi="Calibri" w:cs="Calibri"/>
          <w:sz w:val="22"/>
          <w:szCs w:val="22"/>
          <w:lang w:val="en-US"/>
        </w:rPr>
        <w:t>environment</w:t>
      </w:r>
      <w:r w:rsidRPr="00D43409">
        <w:rPr>
          <w:rFonts w:ascii="Calibri" w:hAnsi="Calibri" w:cs="Calibri"/>
          <w:sz w:val="22"/>
          <w:szCs w:val="22"/>
          <w:lang w:val="en-US"/>
        </w:rPr>
        <w:t xml:space="preserve"> as well</w:t>
      </w:r>
    </w:p>
    <w:p w14:paraId="50DC3D26" w14:textId="77777777" w:rsidR="00E37D5B" w:rsidRPr="00D43409" w:rsidRDefault="00CB7D90"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w:t>
      </w:r>
    </w:p>
    <w:p w14:paraId="3336AA3D" w14:textId="532DB2D0" w:rsidR="00E37D5B" w:rsidRPr="00D43409" w:rsidRDefault="00E37D5B" w:rsidP="006F6801">
      <w:pPr>
        <w:pStyle w:val="ListParagraph"/>
        <w:numPr>
          <w:ilvl w:val="1"/>
          <w:numId w:val="2"/>
        </w:numPr>
        <w:spacing w:line="360" w:lineRule="auto"/>
        <w:rPr>
          <w:rFonts w:ascii="Calibri" w:eastAsia="Times New Roman" w:hAnsi="Calibri" w:cs="Calibri"/>
          <w:sz w:val="22"/>
          <w:szCs w:val="22"/>
        </w:rPr>
      </w:pPr>
      <w:r w:rsidRPr="00D43409">
        <w:rPr>
          <w:rFonts w:ascii="Calibri" w:hAnsi="Calibri" w:cs="Calibri"/>
          <w:sz w:val="22"/>
          <w:szCs w:val="22"/>
          <w:lang w:val="en-US"/>
        </w:rPr>
        <w:t>Serves as physical barrier</w:t>
      </w:r>
    </w:p>
    <w:p w14:paraId="4A60CFA4" w14:textId="44A364E6" w:rsidR="00E37D5B" w:rsidRPr="00D43409" w:rsidRDefault="00E37D5B" w:rsidP="006F6801">
      <w:pPr>
        <w:pStyle w:val="ListParagraph"/>
        <w:numPr>
          <w:ilvl w:val="1"/>
          <w:numId w:val="2"/>
        </w:numPr>
        <w:spacing w:line="360" w:lineRule="auto"/>
        <w:rPr>
          <w:rFonts w:ascii="Calibri" w:eastAsia="Times New Roman" w:hAnsi="Calibri" w:cs="Calibri"/>
          <w:sz w:val="22"/>
          <w:szCs w:val="22"/>
        </w:rPr>
      </w:pPr>
      <w:r w:rsidRPr="00D43409">
        <w:rPr>
          <w:rFonts w:ascii="Calibri" w:eastAsia="Times New Roman" w:hAnsi="Calibri" w:cs="Calibri"/>
          <w:color w:val="1C1D1E"/>
          <w:sz w:val="22"/>
          <w:szCs w:val="22"/>
          <w:shd w:val="clear" w:color="auto" w:fill="FFFFFF"/>
          <w:lang w:val="en-US"/>
        </w:rPr>
        <w:t>Inhibits</w:t>
      </w:r>
      <w:r w:rsidRPr="00D43409">
        <w:rPr>
          <w:rFonts w:ascii="Calibri" w:eastAsia="Times New Roman" w:hAnsi="Calibri" w:cs="Calibri"/>
          <w:color w:val="1C1D1E"/>
          <w:sz w:val="22"/>
          <w:szCs w:val="22"/>
          <w:shd w:val="clear" w:color="auto" w:fill="FFFFFF"/>
        </w:rPr>
        <w:t xml:space="preserve"> pepsin molecules, stimulates prostaglandin release (resulting in increased mucus and HCO</w:t>
      </w:r>
      <w:r w:rsidRPr="00D43409">
        <w:rPr>
          <w:rFonts w:ascii="Calibri" w:eastAsia="Times New Roman" w:hAnsi="Calibri" w:cs="Calibri"/>
          <w:color w:val="1C1D1E"/>
          <w:sz w:val="22"/>
          <w:szCs w:val="22"/>
          <w:shd w:val="clear" w:color="auto" w:fill="FFFFFF"/>
          <w:vertAlign w:val="subscript"/>
        </w:rPr>
        <w:t>3</w:t>
      </w:r>
      <w:r w:rsidRPr="00D43409">
        <w:rPr>
          <w:rFonts w:ascii="Calibri" w:eastAsia="Times New Roman" w:hAnsi="Calibri" w:cs="Calibri"/>
          <w:color w:val="1C1D1E"/>
          <w:sz w:val="22"/>
          <w:szCs w:val="22"/>
          <w:shd w:val="clear" w:color="auto" w:fill="FFFFFF"/>
          <w:vertAlign w:val="superscript"/>
        </w:rPr>
        <w:t>−</w:t>
      </w:r>
      <w:r w:rsidRPr="00D43409">
        <w:rPr>
          <w:rFonts w:ascii="Calibri" w:eastAsia="Times New Roman" w:hAnsi="Calibri" w:cs="Calibri"/>
          <w:color w:val="1C1D1E"/>
          <w:sz w:val="22"/>
          <w:szCs w:val="22"/>
          <w:shd w:val="clear" w:color="auto" w:fill="FFFFFF"/>
        </w:rPr>
        <w:t>secretion), and increases mucosal blood flow</w:t>
      </w:r>
    </w:p>
    <w:p w14:paraId="0B7F5039" w14:textId="77777777" w:rsidR="00E37D5B" w:rsidRPr="00D43409" w:rsidRDefault="00E37D5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Increases mucus and HCO3- secretion through nonprostaglandin mediated pathways</w:t>
      </w:r>
    </w:p>
    <w:p w14:paraId="48E0C1FA" w14:textId="51CDC924" w:rsidR="00E37D5B" w:rsidRPr="00D43409" w:rsidRDefault="00E37D5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Stimulates epidermal growth factor and cell renewal.</w:t>
      </w:r>
    </w:p>
    <w:p w14:paraId="724ED767" w14:textId="08DA1B6E" w:rsidR="00B52B1F" w:rsidRPr="00D43409" w:rsidRDefault="00B52B1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Interaction:</w:t>
      </w:r>
    </w:p>
    <w:p w14:paraId="55AA7F15" w14:textId="53BEC652" w:rsidR="00B52B1F" w:rsidRPr="00D43409" w:rsidRDefault="00B52B1F"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Can</w:t>
      </w:r>
      <w:r w:rsidR="00E21F12" w:rsidRPr="00D43409">
        <w:rPr>
          <w:rFonts w:ascii="Calibri" w:hAnsi="Calibri" w:cs="Calibri"/>
          <w:sz w:val="22"/>
          <w:szCs w:val="22"/>
          <w:lang w:val="en-US"/>
        </w:rPr>
        <w:t xml:space="preserve"> decrease absorption of other drugs</w:t>
      </w:r>
      <w:r w:rsidRPr="00D43409">
        <w:rPr>
          <w:rFonts w:ascii="Calibri" w:hAnsi="Calibri" w:cs="Calibri"/>
          <w:sz w:val="22"/>
          <w:szCs w:val="22"/>
          <w:lang w:val="en-US"/>
        </w:rPr>
        <w:t xml:space="preserve"> </w:t>
      </w:r>
      <w:r w:rsidR="00E21F12" w:rsidRPr="00D43409">
        <w:rPr>
          <w:rFonts w:ascii="Calibri" w:hAnsi="Calibri" w:cs="Calibri"/>
          <w:sz w:val="22"/>
          <w:szCs w:val="22"/>
          <w:lang w:val="en-US"/>
        </w:rPr>
        <w:t>(e.g. fluoroquinolones, aminophylline, theophylline, tetracyclines, ketoconazole, phenytoin, digoxin, levothyroxine, cimetidine, ranitidine and amitriptyline)</w:t>
      </w:r>
    </w:p>
    <w:p w14:paraId="66146EA7" w14:textId="38E5E6B1" w:rsidR="00097273" w:rsidRPr="00D43409" w:rsidRDefault="00097273"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Do not give with enteral feedings </w:t>
      </w:r>
    </w:p>
    <w:p w14:paraId="60DA0455" w14:textId="31923554" w:rsidR="00CB7D90" w:rsidRPr="00D43409" w:rsidRDefault="005834A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Adverse effect minimal, </w:t>
      </w:r>
      <w:r w:rsidR="00CB7D90" w:rsidRPr="00D43409">
        <w:rPr>
          <w:rFonts w:ascii="Calibri" w:hAnsi="Calibri" w:cs="Calibri"/>
          <w:sz w:val="22"/>
          <w:szCs w:val="22"/>
          <w:lang w:val="en-US"/>
        </w:rPr>
        <w:t xml:space="preserve">except for constipation </w:t>
      </w:r>
    </w:p>
    <w:p w14:paraId="0974C2E8" w14:textId="69F74117" w:rsidR="00B46628" w:rsidRDefault="00B46628"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Historically, not use in preventing stress-related mucosal disease (SRMD). However, a recent ex vivo study demonstrated that Sucralfate was effective at restoring defects in gastric barrier induced by acid and accelerated repair of tissue, which suggest that Sucralfate may be useful in SRMD (Hill et a. 2018) </w:t>
      </w:r>
    </w:p>
    <w:p w14:paraId="36FC0DED" w14:textId="2A64BF8D" w:rsidR="00F561C9" w:rsidRPr="00F561C9" w:rsidRDefault="00F561C9" w:rsidP="00F561C9">
      <w:pPr>
        <w:spacing w:line="360" w:lineRule="auto"/>
        <w:jc w:val="center"/>
        <w:rPr>
          <w:rFonts w:ascii="Calibri" w:hAnsi="Calibri" w:cs="Calibri"/>
          <w:sz w:val="22"/>
          <w:szCs w:val="22"/>
          <w:lang w:val="en-US"/>
        </w:rPr>
      </w:pPr>
      <w:r w:rsidRPr="00F561C9">
        <w:rPr>
          <w:lang w:val="en-US"/>
        </w:rPr>
        <w:drawing>
          <wp:inline distT="0" distB="0" distL="0" distR="0" wp14:anchorId="76155DAF" wp14:editId="2CB7FE22">
            <wp:extent cx="3251200" cy="326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51200" cy="3263900"/>
                    </a:xfrm>
                    <a:prstGeom prst="rect">
                      <a:avLst/>
                    </a:prstGeom>
                  </pic:spPr>
                </pic:pic>
              </a:graphicData>
            </a:graphic>
          </wp:inline>
        </w:drawing>
      </w:r>
    </w:p>
    <w:p w14:paraId="7848D73E" w14:textId="39F705E7" w:rsidR="00412F4C" w:rsidRPr="00D43409" w:rsidRDefault="00412F4C" w:rsidP="006F6801">
      <w:pPr>
        <w:pStyle w:val="ListParagraph"/>
        <w:numPr>
          <w:ilvl w:val="0"/>
          <w:numId w:val="4"/>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Prostaglandin Analogs – Misoprostol </w:t>
      </w:r>
    </w:p>
    <w:p w14:paraId="26FE990F" w14:textId="02C7B259" w:rsidR="007D0E42" w:rsidRPr="00D43409" w:rsidRDefault="007D0E42"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 xml:space="preserve">A prostaglandin E1 analog with both antacid and mucosal protective properties </w:t>
      </w:r>
    </w:p>
    <w:p w14:paraId="37E30337" w14:textId="1AFF31BF" w:rsidR="003306E6" w:rsidRPr="00D43409" w:rsidRDefault="003306E6" w:rsidP="006F6801">
      <w:pPr>
        <w:pStyle w:val="ListParagraph"/>
        <w:numPr>
          <w:ilvl w:val="0"/>
          <w:numId w:val="2"/>
        </w:numPr>
        <w:spacing w:line="360" w:lineRule="auto"/>
        <w:rPr>
          <w:rFonts w:ascii="Calibri" w:hAnsi="Calibri" w:cs="Calibri"/>
          <w:b/>
          <w:sz w:val="22"/>
          <w:szCs w:val="22"/>
          <w:lang w:val="en-US"/>
        </w:rPr>
      </w:pPr>
      <w:r w:rsidRPr="00D43409">
        <w:rPr>
          <w:rFonts w:ascii="Calibri" w:hAnsi="Calibri" w:cs="Calibri"/>
          <w:sz w:val="22"/>
          <w:szCs w:val="22"/>
          <w:lang w:val="en-US"/>
        </w:rPr>
        <w:t>Developed to prevent ulceration caused by NSAIDs</w:t>
      </w:r>
    </w:p>
    <w:p w14:paraId="46EDFA0C" w14:textId="745C71B4" w:rsidR="007D0E42" w:rsidRPr="00D43409" w:rsidRDefault="007D0E42"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w:t>
      </w:r>
    </w:p>
    <w:p w14:paraId="57A71EF9" w14:textId="03341CB0" w:rsidR="007D0E42" w:rsidRPr="00D43409" w:rsidRDefault="007D0E4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Stimulates secretion of mucus and HCO3, increases gastric blood flow </w:t>
      </w:r>
    </w:p>
    <w:p w14:paraId="4EA17501" w14:textId="5694A9A1" w:rsidR="004F5B9A" w:rsidRPr="00D43409" w:rsidRDefault="004F5B9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Acts on parietal cells to inhibit both nocturnal acid secretion and secretions in response to food, pentagastrin, and histamine </w:t>
      </w:r>
    </w:p>
    <w:p w14:paraId="3B405A8F" w14:textId="40F2BFAF" w:rsidR="00B963D5" w:rsidRPr="00D43409" w:rsidRDefault="00B963D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Can e</w:t>
      </w:r>
      <w:r w:rsidR="00A1334D" w:rsidRPr="00D43409">
        <w:rPr>
          <w:rFonts w:ascii="Calibri" w:hAnsi="Calibri" w:cs="Calibri"/>
          <w:sz w:val="22"/>
          <w:szCs w:val="22"/>
          <w:lang w:val="en-US"/>
        </w:rPr>
        <w:t>n</w:t>
      </w:r>
      <w:r w:rsidRPr="00D43409">
        <w:rPr>
          <w:rFonts w:ascii="Calibri" w:hAnsi="Calibri" w:cs="Calibri"/>
          <w:sz w:val="22"/>
          <w:szCs w:val="22"/>
          <w:lang w:val="en-US"/>
        </w:rPr>
        <w:t xml:space="preserve">hance colonic motility </w:t>
      </w:r>
    </w:p>
    <w:p w14:paraId="3792D301" w14:textId="16B5A97E" w:rsidR="007D0E42" w:rsidRPr="00D43409" w:rsidRDefault="007D0E42"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Metabolism: </w:t>
      </w:r>
    </w:p>
    <w:p w14:paraId="013D402B" w14:textId="25D355E4" w:rsidR="007D0E42" w:rsidRPr="00D43409" w:rsidRDefault="007D0E4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Rapidly absorbed w/ food </w:t>
      </w:r>
    </w:p>
    <w:p w14:paraId="69FA567F" w14:textId="1FA5BD8B" w:rsidR="007D0E42" w:rsidRPr="00D43409" w:rsidRDefault="007D0E4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1</w:t>
      </w:r>
      <w:r w:rsidRPr="00D43409">
        <w:rPr>
          <w:rFonts w:ascii="Calibri" w:hAnsi="Calibri" w:cs="Calibri"/>
          <w:sz w:val="22"/>
          <w:szCs w:val="22"/>
          <w:vertAlign w:val="superscript"/>
          <w:lang w:val="en-US"/>
        </w:rPr>
        <w:t>st</w:t>
      </w:r>
      <w:r w:rsidRPr="00D43409">
        <w:rPr>
          <w:rFonts w:ascii="Calibri" w:hAnsi="Calibri" w:cs="Calibri"/>
          <w:sz w:val="22"/>
          <w:szCs w:val="22"/>
          <w:lang w:val="en-US"/>
        </w:rPr>
        <w:t xml:space="preserve"> pass metabolism in liver -&gt; active form </w:t>
      </w:r>
    </w:p>
    <w:p w14:paraId="676B6F9D" w14:textId="70890205" w:rsidR="007D0E42" w:rsidRPr="00D43409" w:rsidRDefault="007D0E4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 xml:space="preserve">Short </w:t>
      </w:r>
      <w:proofErr w:type="spellStart"/>
      <w:r w:rsidR="002F1875" w:rsidRPr="00D43409">
        <w:rPr>
          <w:rFonts w:ascii="Calibri" w:hAnsi="Calibri" w:cs="Calibri"/>
          <w:sz w:val="22"/>
          <w:szCs w:val="22"/>
          <w:lang w:val="en-US"/>
        </w:rPr>
        <w:t>half</w:t>
      </w:r>
      <w:r w:rsidR="005E66D9">
        <w:rPr>
          <w:rFonts w:ascii="Calibri" w:hAnsi="Calibri" w:cs="Calibri"/>
          <w:sz w:val="22"/>
          <w:szCs w:val="22"/>
          <w:lang w:val="en-US"/>
        </w:rPr>
        <w:t xml:space="preserve"> </w:t>
      </w:r>
      <w:r w:rsidRPr="00D43409">
        <w:rPr>
          <w:rFonts w:ascii="Calibri" w:hAnsi="Calibri" w:cs="Calibri"/>
          <w:sz w:val="22"/>
          <w:szCs w:val="22"/>
          <w:lang w:val="en-US"/>
        </w:rPr>
        <w:t>life</w:t>
      </w:r>
      <w:proofErr w:type="spellEnd"/>
      <w:r w:rsidRPr="00D43409">
        <w:rPr>
          <w:rFonts w:ascii="Calibri" w:hAnsi="Calibri" w:cs="Calibri"/>
          <w:sz w:val="22"/>
          <w:szCs w:val="22"/>
          <w:lang w:val="en-US"/>
        </w:rPr>
        <w:t xml:space="preserve"> </w:t>
      </w:r>
      <w:r w:rsidR="003E6556" w:rsidRPr="00D43409">
        <w:rPr>
          <w:rFonts w:ascii="Calibri" w:hAnsi="Calibri" w:cs="Calibri"/>
          <w:sz w:val="22"/>
          <w:szCs w:val="22"/>
          <w:lang w:val="en-US"/>
        </w:rPr>
        <w:sym w:font="Wingdings" w:char="F0E0"/>
      </w:r>
      <w:r w:rsidR="003E6556" w:rsidRPr="00D43409">
        <w:rPr>
          <w:rFonts w:ascii="Calibri" w:hAnsi="Calibri" w:cs="Calibri"/>
          <w:sz w:val="22"/>
          <w:szCs w:val="22"/>
          <w:lang w:val="en-US"/>
        </w:rPr>
        <w:t xml:space="preserve"> give 2-3 times daily</w:t>
      </w:r>
    </w:p>
    <w:p w14:paraId="6507CF2C" w14:textId="368BEBB0" w:rsidR="007D0E42" w:rsidRPr="00D43409" w:rsidRDefault="00CF2E3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Adverse effect: diarrhea, uterine contraction (can result in abortion) </w:t>
      </w:r>
    </w:p>
    <w:p w14:paraId="1D7665A7" w14:textId="653C2ECC" w:rsidR="00412F4C" w:rsidRDefault="00412F4C" w:rsidP="006F6801">
      <w:pPr>
        <w:pStyle w:val="ListParagraph"/>
        <w:numPr>
          <w:ilvl w:val="0"/>
          <w:numId w:val="4"/>
        </w:numPr>
        <w:spacing w:line="360" w:lineRule="auto"/>
        <w:rPr>
          <w:rFonts w:ascii="Calibri" w:hAnsi="Calibri" w:cs="Calibri"/>
          <w:sz w:val="22"/>
          <w:szCs w:val="22"/>
          <w:lang w:val="en-US"/>
        </w:rPr>
      </w:pPr>
      <w:r w:rsidRPr="00392E36">
        <w:rPr>
          <w:rFonts w:ascii="Calibri" w:hAnsi="Calibri" w:cs="Calibri"/>
          <w:b/>
          <w:sz w:val="22"/>
          <w:szCs w:val="22"/>
          <w:lang w:val="en-US"/>
        </w:rPr>
        <w:t>Antacids</w:t>
      </w:r>
      <w:r w:rsidR="00E37D5B" w:rsidRPr="00392E36">
        <w:rPr>
          <w:rFonts w:ascii="Calibri" w:hAnsi="Calibri" w:cs="Calibri"/>
          <w:b/>
          <w:sz w:val="22"/>
          <w:szCs w:val="22"/>
          <w:lang w:val="en-US"/>
        </w:rPr>
        <w:t xml:space="preserve"> </w:t>
      </w:r>
      <w:r w:rsidR="00E37D5B" w:rsidRPr="00D43409">
        <w:rPr>
          <w:rFonts w:ascii="Calibri" w:hAnsi="Calibri" w:cs="Calibri"/>
          <w:sz w:val="22"/>
          <w:szCs w:val="22"/>
          <w:lang w:val="en-US"/>
        </w:rPr>
        <w:t xml:space="preserve">– administer to neutralize gastric acid </w:t>
      </w:r>
    </w:p>
    <w:p w14:paraId="5A81D643" w14:textId="77777777" w:rsidR="00627175" w:rsidRPr="00627175" w:rsidRDefault="00627175" w:rsidP="00627175">
      <w:pPr>
        <w:spacing w:line="360" w:lineRule="auto"/>
        <w:rPr>
          <w:rFonts w:ascii="Calibri" w:hAnsi="Calibri" w:cs="Calibri"/>
          <w:sz w:val="22"/>
          <w:szCs w:val="22"/>
          <w:lang w:val="en-US"/>
        </w:rPr>
      </w:pPr>
    </w:p>
    <w:p w14:paraId="4CCB9239" w14:textId="6DEAF042" w:rsidR="00624716" w:rsidRPr="00D43409" w:rsidRDefault="00624716" w:rsidP="006F6801">
      <w:pPr>
        <w:spacing w:line="360" w:lineRule="auto"/>
        <w:rPr>
          <w:rFonts w:ascii="Calibri" w:hAnsi="Calibri" w:cs="Calibri"/>
          <w:sz w:val="22"/>
          <w:szCs w:val="22"/>
          <w:lang w:val="en-US"/>
        </w:rPr>
      </w:pPr>
      <w:r w:rsidRPr="00D43409">
        <w:rPr>
          <w:rFonts w:ascii="Calibri" w:hAnsi="Calibri" w:cs="Calibri"/>
          <w:sz w:val="22"/>
          <w:szCs w:val="22"/>
          <w:lang w:val="en-US"/>
        </w:rPr>
        <w:t>Potential complications of increased gastric pH</w:t>
      </w:r>
    </w:p>
    <w:p w14:paraId="10624613" w14:textId="0725CA40" w:rsidR="008D1FCD" w:rsidRPr="00D43409" w:rsidRDefault="00880713" w:rsidP="006F6801">
      <w:pPr>
        <w:pStyle w:val="ListParagraph"/>
        <w:numPr>
          <w:ilvl w:val="0"/>
          <w:numId w:val="2"/>
        </w:numPr>
        <w:spacing w:line="360" w:lineRule="auto"/>
        <w:rPr>
          <w:rFonts w:ascii="Calibri" w:hAnsi="Calibri" w:cs="Calibri"/>
          <w:sz w:val="22"/>
          <w:szCs w:val="22"/>
          <w:u w:val="single"/>
          <w:lang w:val="en-US"/>
        </w:rPr>
      </w:pPr>
      <w:r w:rsidRPr="00D43409">
        <w:rPr>
          <w:rFonts w:ascii="Calibri" w:hAnsi="Calibri" w:cs="Calibri"/>
          <w:sz w:val="22"/>
          <w:szCs w:val="22"/>
          <w:lang w:val="en-US"/>
        </w:rPr>
        <w:t>As gastric acid is a defense mechanism in preventing many infectious agents gaining access to the intestinal tract, increasing gastric pH may cause an increased risk of infection</w:t>
      </w:r>
    </w:p>
    <w:p w14:paraId="6BE9E53C" w14:textId="1DA0EF11" w:rsidR="0028176D" w:rsidRPr="00350E9D" w:rsidRDefault="00880713" w:rsidP="006F6801">
      <w:pPr>
        <w:pStyle w:val="ListParagraph"/>
        <w:numPr>
          <w:ilvl w:val="0"/>
          <w:numId w:val="2"/>
        </w:numPr>
        <w:spacing w:line="360" w:lineRule="auto"/>
        <w:rPr>
          <w:rFonts w:ascii="Calibri" w:hAnsi="Calibri" w:cs="Calibri"/>
          <w:sz w:val="22"/>
          <w:szCs w:val="22"/>
          <w:u w:val="single"/>
          <w:lang w:val="en-US"/>
        </w:rPr>
      </w:pPr>
      <w:r w:rsidRPr="00D43409">
        <w:rPr>
          <w:rFonts w:ascii="Calibri" w:hAnsi="Calibri" w:cs="Calibri"/>
          <w:sz w:val="22"/>
          <w:szCs w:val="22"/>
          <w:lang w:val="en-US"/>
        </w:rPr>
        <w:t xml:space="preserve">In critically ill humans, it was been shown that acid suppression therapy is associated with increased risk of bacterial pneumonia following an aspiration event </w:t>
      </w:r>
    </w:p>
    <w:p w14:paraId="4F1B6F2F" w14:textId="77777777" w:rsidR="00350E9D" w:rsidRPr="00350E9D" w:rsidRDefault="00350E9D" w:rsidP="00350E9D">
      <w:pPr>
        <w:spacing w:line="360" w:lineRule="auto"/>
        <w:rPr>
          <w:rFonts w:ascii="Calibri" w:hAnsi="Calibri" w:cs="Calibri"/>
          <w:sz w:val="22"/>
          <w:szCs w:val="22"/>
          <w:u w:val="single"/>
          <w:lang w:val="en-US"/>
        </w:rPr>
      </w:pPr>
    </w:p>
    <w:p w14:paraId="57544524" w14:textId="5C15750E" w:rsidR="00DD2205" w:rsidRPr="00D43409" w:rsidRDefault="000E2D52" w:rsidP="006F6801">
      <w:pPr>
        <w:spacing w:line="360" w:lineRule="auto"/>
        <w:jc w:val="center"/>
        <w:rPr>
          <w:rFonts w:ascii="Calibri" w:hAnsi="Calibri" w:cs="Calibri"/>
          <w:sz w:val="22"/>
          <w:szCs w:val="22"/>
          <w:u w:val="single"/>
          <w:lang w:val="en-US"/>
        </w:rPr>
      </w:pPr>
      <w:r w:rsidRPr="000E2D52">
        <w:rPr>
          <w:rFonts w:ascii="Calibri" w:hAnsi="Calibri" w:cs="Calibri"/>
          <w:noProof/>
          <w:sz w:val="22"/>
          <w:szCs w:val="22"/>
          <w:lang w:val="en-US"/>
        </w:rPr>
        <w:drawing>
          <wp:inline distT="0" distB="0" distL="0" distR="0" wp14:anchorId="3E387DE4" wp14:editId="1C237F9E">
            <wp:extent cx="5220183" cy="498580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24520" cy="4989950"/>
                    </a:xfrm>
                    <a:prstGeom prst="rect">
                      <a:avLst/>
                    </a:prstGeom>
                  </pic:spPr>
                </pic:pic>
              </a:graphicData>
            </a:graphic>
          </wp:inline>
        </w:drawing>
      </w:r>
    </w:p>
    <w:p w14:paraId="45D3CE36" w14:textId="7510A44A" w:rsidR="00245113" w:rsidRPr="00D43409" w:rsidRDefault="0021621B" w:rsidP="006F6801">
      <w:pPr>
        <w:spacing w:line="360" w:lineRule="auto"/>
        <w:rPr>
          <w:rFonts w:ascii="Calibri" w:hAnsi="Calibri" w:cs="Calibri"/>
          <w:sz w:val="22"/>
          <w:szCs w:val="22"/>
          <w:lang w:val="en-US"/>
        </w:rPr>
      </w:pPr>
      <w:r w:rsidRPr="00D43409">
        <w:rPr>
          <w:rFonts w:ascii="Calibri" w:hAnsi="Calibri" w:cs="Calibri"/>
          <w:sz w:val="22"/>
          <w:szCs w:val="22"/>
          <w:u w:val="single"/>
          <w:lang w:val="en-US"/>
        </w:rPr>
        <w:t>Gastrointestinal dysmotility disorders (GIDM)</w:t>
      </w:r>
    </w:p>
    <w:p w14:paraId="1A7BADC9" w14:textId="293C18D9" w:rsidR="0021621B" w:rsidRPr="00D43409" w:rsidRDefault="0021621B"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Common complication in critically ill people </w:t>
      </w:r>
    </w:p>
    <w:p w14:paraId="5C9708DE" w14:textId="0F000E9F" w:rsidR="0021621B" w:rsidRPr="00D43409" w:rsidRDefault="0021621B"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 xml:space="preserve">Most common disorders seen in small animal patients include esophageal dysmotility, delayed gastric emptying, function intestinal obstruction (i.e. ileus), and colonic motility abnormalities </w:t>
      </w:r>
    </w:p>
    <w:p w14:paraId="4D2B0B5F" w14:textId="409FBA93" w:rsidR="008027D2" w:rsidRPr="00D43409" w:rsidRDefault="001A0195"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Many r</w:t>
      </w:r>
      <w:r w:rsidR="00DF092D" w:rsidRPr="00D43409">
        <w:rPr>
          <w:rFonts w:ascii="Calibri" w:hAnsi="Calibri" w:cs="Calibri"/>
          <w:sz w:val="22"/>
          <w:szCs w:val="22"/>
          <w:lang w:val="en-US"/>
        </w:rPr>
        <w:t>isk factors</w:t>
      </w:r>
      <w:r w:rsidRPr="00D43409">
        <w:rPr>
          <w:rFonts w:ascii="Calibri" w:hAnsi="Calibri" w:cs="Calibri"/>
          <w:sz w:val="22"/>
          <w:szCs w:val="22"/>
          <w:lang w:val="en-US"/>
        </w:rPr>
        <w:t>,</w:t>
      </w:r>
      <w:r w:rsidR="00DF092D" w:rsidRPr="00D43409">
        <w:rPr>
          <w:rFonts w:ascii="Calibri" w:hAnsi="Calibri" w:cs="Calibri"/>
          <w:sz w:val="22"/>
          <w:szCs w:val="22"/>
          <w:lang w:val="en-US"/>
        </w:rPr>
        <w:t xml:space="preserve"> </w:t>
      </w:r>
      <w:r w:rsidRPr="00D43409">
        <w:rPr>
          <w:rFonts w:ascii="Calibri" w:hAnsi="Calibri" w:cs="Calibri"/>
          <w:sz w:val="22"/>
          <w:szCs w:val="22"/>
          <w:lang w:val="en-US"/>
        </w:rPr>
        <w:t>e.g.</w:t>
      </w:r>
      <w:r w:rsidR="00DF092D" w:rsidRPr="00D43409">
        <w:rPr>
          <w:rFonts w:ascii="Calibri" w:hAnsi="Calibri" w:cs="Calibri"/>
          <w:sz w:val="22"/>
          <w:szCs w:val="22"/>
          <w:lang w:val="en-US"/>
        </w:rPr>
        <w:t xml:space="preserve"> mechanical ventilation,</w:t>
      </w:r>
      <w:r w:rsidR="00991D89" w:rsidRPr="00D43409">
        <w:rPr>
          <w:rFonts w:ascii="Calibri" w:hAnsi="Calibri" w:cs="Calibri"/>
          <w:sz w:val="22"/>
          <w:szCs w:val="22"/>
          <w:lang w:val="en-US"/>
        </w:rPr>
        <w:t xml:space="preserve"> electrolyte </w:t>
      </w:r>
      <w:r w:rsidR="00D65BAC" w:rsidRPr="00D43409">
        <w:rPr>
          <w:rFonts w:ascii="Calibri" w:hAnsi="Calibri" w:cs="Calibri"/>
          <w:sz w:val="22"/>
          <w:szCs w:val="22"/>
          <w:lang w:val="en-US"/>
        </w:rPr>
        <w:t>derangements</w:t>
      </w:r>
      <w:r w:rsidR="00991D89" w:rsidRPr="00D43409">
        <w:rPr>
          <w:rFonts w:ascii="Calibri" w:hAnsi="Calibri" w:cs="Calibri"/>
          <w:sz w:val="22"/>
          <w:szCs w:val="22"/>
          <w:lang w:val="en-US"/>
        </w:rPr>
        <w:t>, diabetic gastroneuropathy, drugs, hypoxemia,</w:t>
      </w:r>
      <w:r w:rsidR="00DF092D" w:rsidRPr="00D43409">
        <w:rPr>
          <w:rFonts w:ascii="Calibri" w:hAnsi="Calibri" w:cs="Calibri"/>
          <w:sz w:val="22"/>
          <w:szCs w:val="22"/>
          <w:lang w:val="en-US"/>
        </w:rPr>
        <w:t xml:space="preserve"> se</w:t>
      </w:r>
      <w:r w:rsidR="00991D89" w:rsidRPr="00D43409">
        <w:rPr>
          <w:rFonts w:ascii="Calibri" w:hAnsi="Calibri" w:cs="Calibri"/>
          <w:sz w:val="22"/>
          <w:szCs w:val="22"/>
          <w:lang w:val="en-US"/>
        </w:rPr>
        <w:t>psis, shock, trauma, SIRS, MODS</w:t>
      </w:r>
    </w:p>
    <w:p w14:paraId="4AC5695A" w14:textId="5F5C981A" w:rsidR="0043462E" w:rsidRPr="00D43409" w:rsidRDefault="001541FF" w:rsidP="006F6801">
      <w:pPr>
        <w:spacing w:line="360" w:lineRule="auto"/>
        <w:rPr>
          <w:rFonts w:ascii="Calibri" w:hAnsi="Calibri" w:cs="Calibri"/>
          <w:i/>
          <w:sz w:val="22"/>
          <w:szCs w:val="22"/>
          <w:lang w:val="en-US"/>
        </w:rPr>
      </w:pPr>
      <w:r w:rsidRPr="00D43409">
        <w:rPr>
          <w:rFonts w:ascii="Calibri" w:hAnsi="Calibri" w:cs="Calibri"/>
          <w:i/>
          <w:sz w:val="22"/>
          <w:szCs w:val="22"/>
          <w:lang w:val="en-US"/>
        </w:rPr>
        <w:t xml:space="preserve">4 main types of </w:t>
      </w:r>
      <w:proofErr w:type="spellStart"/>
      <w:r w:rsidRPr="00D43409">
        <w:rPr>
          <w:rFonts w:ascii="Calibri" w:hAnsi="Calibri" w:cs="Calibri"/>
          <w:i/>
          <w:sz w:val="22"/>
          <w:szCs w:val="22"/>
          <w:lang w:val="en-US"/>
        </w:rPr>
        <w:t>dysmotilities</w:t>
      </w:r>
      <w:proofErr w:type="spellEnd"/>
      <w:r w:rsidR="0043462E" w:rsidRPr="00D43409">
        <w:rPr>
          <w:rFonts w:ascii="Calibri" w:hAnsi="Calibri" w:cs="Calibri"/>
          <w:i/>
          <w:sz w:val="22"/>
          <w:szCs w:val="22"/>
          <w:lang w:val="en-US"/>
        </w:rPr>
        <w:t>:</w:t>
      </w:r>
    </w:p>
    <w:p w14:paraId="16BFEE98" w14:textId="03F06190" w:rsidR="00CD55DF" w:rsidRPr="00D43409" w:rsidRDefault="00CD55DF"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Esophageal d</w:t>
      </w:r>
      <w:r w:rsidR="005D4CE7" w:rsidRPr="00D43409">
        <w:rPr>
          <w:rFonts w:ascii="Calibri" w:hAnsi="Calibri" w:cs="Calibri"/>
          <w:b/>
          <w:sz w:val="22"/>
          <w:szCs w:val="22"/>
          <w:lang w:val="en-US"/>
        </w:rPr>
        <w:t>ysmotility</w:t>
      </w:r>
      <w:r w:rsidR="005D4CE7" w:rsidRPr="00D43409">
        <w:rPr>
          <w:rFonts w:ascii="Calibri" w:hAnsi="Calibri" w:cs="Calibri"/>
          <w:sz w:val="22"/>
          <w:szCs w:val="22"/>
          <w:lang w:val="en-US"/>
        </w:rPr>
        <w:t xml:space="preserve"> usually secondary to development of gastroesophageal reflux – change in esophageal motor activity and decreases in the LES pressure result in regurgitation of gastric content, esophagitis, and subsequent aspiration </w:t>
      </w:r>
    </w:p>
    <w:p w14:paraId="3B03216A" w14:textId="799A4860" w:rsidR="002170CA" w:rsidRPr="00D43409" w:rsidRDefault="002170C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Delayed gastric emptying</w:t>
      </w:r>
      <w:r w:rsidRPr="00D43409">
        <w:rPr>
          <w:rFonts w:ascii="Calibri" w:hAnsi="Calibri" w:cs="Calibri"/>
          <w:sz w:val="22"/>
          <w:szCs w:val="22"/>
          <w:lang w:val="en-US"/>
        </w:rPr>
        <w:t xml:space="preserve"> is a functional disorder caused by defects in the myenteric neuronal and gastric smooth muscle, which leads to impaired emptying of digesta from stomach</w:t>
      </w:r>
    </w:p>
    <w:p w14:paraId="153AB269" w14:textId="4816FCC2" w:rsidR="00300666" w:rsidRPr="00D43409" w:rsidRDefault="00300666"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Pathophysiology not fully understood in humans and in small animal patients </w:t>
      </w:r>
    </w:p>
    <w:p w14:paraId="2854E8AF" w14:textId="18C35C5B" w:rsidR="00D36281" w:rsidRPr="00D43409" w:rsidRDefault="00D3628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Theories include “pump failure” (primary motor dysfunction) and “excessive feedback” (release of neuroendocrine peptides that inhibit afferent neurons)</w:t>
      </w:r>
    </w:p>
    <w:p w14:paraId="4A1C3099" w14:textId="4670A780" w:rsidR="001B7A0E" w:rsidRPr="00D43409" w:rsidRDefault="001B7A0E"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Ileus</w:t>
      </w:r>
      <w:r w:rsidRPr="00D43409">
        <w:rPr>
          <w:rFonts w:ascii="Calibri" w:hAnsi="Calibri" w:cs="Calibri"/>
          <w:sz w:val="22"/>
          <w:szCs w:val="22"/>
          <w:lang w:val="en-US"/>
        </w:rPr>
        <w:t xml:space="preserve"> characterized by lack of borborygmi, accumulation of gas and fluid in the bowel, with subsequent abdominal distension, and decreased advancement of GI contents</w:t>
      </w:r>
    </w:p>
    <w:p w14:paraId="6AD6BC54" w14:textId="3E23F31D" w:rsidR="001B7A0E" w:rsidRPr="00D43409" w:rsidRDefault="001B7A0E"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Multifactorial, may include </w:t>
      </w:r>
    </w:p>
    <w:p w14:paraId="3ECF9F6D" w14:textId="0E6600DA" w:rsidR="001B7A0E" w:rsidRPr="00D43409" w:rsidRDefault="001B7A0E"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Loss of synchronized coordination and dysfunction peristalsis </w:t>
      </w:r>
    </w:p>
    <w:p w14:paraId="13DFDE76" w14:textId="4A1695B8" w:rsidR="001B7A0E" w:rsidRPr="00D43409" w:rsidRDefault="001B7A0E"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Decreased motor activity in </w:t>
      </w:r>
      <w:proofErr w:type="spellStart"/>
      <w:r w:rsidRPr="00D43409">
        <w:rPr>
          <w:rFonts w:ascii="Calibri" w:hAnsi="Calibri" w:cs="Calibri"/>
          <w:sz w:val="22"/>
          <w:szCs w:val="22"/>
          <w:lang w:val="en-US"/>
        </w:rPr>
        <w:t>muscularis</w:t>
      </w:r>
      <w:proofErr w:type="spellEnd"/>
      <w:r w:rsidRPr="00D43409">
        <w:rPr>
          <w:rFonts w:ascii="Calibri" w:hAnsi="Calibri" w:cs="Calibri"/>
          <w:sz w:val="22"/>
          <w:szCs w:val="22"/>
          <w:lang w:val="en-US"/>
        </w:rPr>
        <w:t xml:space="preserve"> portion of GIT</w:t>
      </w:r>
    </w:p>
    <w:p w14:paraId="75A9273C" w14:textId="6B152B81" w:rsidR="001B7A0E" w:rsidRPr="00D43409" w:rsidRDefault="001B7A0E"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Disturbance in the interdigestive motility pattern (MMCs)</w:t>
      </w:r>
    </w:p>
    <w:p w14:paraId="59BE55A5" w14:textId="20F976F0" w:rsidR="00DA5450" w:rsidRPr="00D43409" w:rsidRDefault="00DA5450"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Secondary to drugs (e.g. opioids)</w:t>
      </w:r>
    </w:p>
    <w:p w14:paraId="593033D1" w14:textId="2732776C" w:rsidR="00E87A58" w:rsidRPr="00D43409" w:rsidRDefault="00E87A58"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 xml:space="preserve">Colonic </w:t>
      </w:r>
      <w:r w:rsidR="00BE5429" w:rsidRPr="00D43409">
        <w:rPr>
          <w:rFonts w:ascii="Calibri" w:hAnsi="Calibri" w:cs="Calibri"/>
          <w:b/>
          <w:sz w:val="22"/>
          <w:szCs w:val="22"/>
          <w:lang w:val="en-US"/>
        </w:rPr>
        <w:t>dysmotility</w:t>
      </w:r>
      <w:r w:rsidRPr="00D43409">
        <w:rPr>
          <w:rFonts w:ascii="Calibri" w:hAnsi="Calibri" w:cs="Calibri"/>
          <w:sz w:val="22"/>
          <w:szCs w:val="22"/>
          <w:lang w:val="en-US"/>
        </w:rPr>
        <w:t xml:space="preserve"> </w:t>
      </w:r>
      <w:r w:rsidR="00BE5429" w:rsidRPr="00D43409">
        <w:rPr>
          <w:rFonts w:ascii="Calibri" w:hAnsi="Calibri" w:cs="Calibri"/>
          <w:sz w:val="22"/>
          <w:szCs w:val="22"/>
          <w:lang w:val="en-US"/>
        </w:rPr>
        <w:t>includes</w:t>
      </w:r>
      <w:r w:rsidRPr="00D43409">
        <w:rPr>
          <w:rFonts w:ascii="Calibri" w:hAnsi="Calibri" w:cs="Calibri"/>
          <w:sz w:val="22"/>
          <w:szCs w:val="22"/>
          <w:lang w:val="en-US"/>
        </w:rPr>
        <w:t xml:space="preserve"> constipation, megacolon, or decreased colonic tone</w:t>
      </w:r>
    </w:p>
    <w:p w14:paraId="7714FBC6" w14:textId="0FFC8373" w:rsidR="005138C4" w:rsidRDefault="005138C4" w:rsidP="006F6801">
      <w:pPr>
        <w:spacing w:line="360" w:lineRule="auto"/>
        <w:rPr>
          <w:rFonts w:ascii="Calibri" w:hAnsi="Calibri" w:cs="Calibri"/>
          <w:sz w:val="22"/>
          <w:szCs w:val="22"/>
          <w:lang w:val="en-US"/>
        </w:rPr>
      </w:pPr>
      <w:r w:rsidRPr="00D43409">
        <w:rPr>
          <w:rFonts w:ascii="Calibri" w:hAnsi="Calibri" w:cs="Calibri"/>
          <w:sz w:val="22"/>
          <w:szCs w:val="22"/>
          <w:lang w:val="en-US"/>
        </w:rPr>
        <w:t>Opioids-related bowel dysfunction</w:t>
      </w:r>
    </w:p>
    <w:p w14:paraId="46A84EE5" w14:textId="341486FF" w:rsidR="00F031F7" w:rsidRPr="00F031F7" w:rsidRDefault="00F031F7" w:rsidP="00F031F7">
      <w:pPr>
        <w:jc w:val="center"/>
      </w:pPr>
      <w:r w:rsidRPr="00F031F7">
        <w:fldChar w:fldCharType="begin"/>
      </w:r>
      <w:r w:rsidRPr="00F031F7">
        <w:instrText xml:space="preserve"> INCLUDEPICTURE "https://www.ncbi.nlm.nih.gov/pmc/articles/PMC3163293/bin/ukmss-32582-f0001.jpg" \* MERGEFORMATINET </w:instrText>
      </w:r>
      <w:r w:rsidRPr="00F031F7">
        <w:fldChar w:fldCharType="separate"/>
      </w:r>
      <w:r w:rsidRPr="00F031F7">
        <w:rPr>
          <w:noProof/>
        </w:rPr>
        <w:drawing>
          <wp:inline distT="0" distB="0" distL="0" distR="0" wp14:anchorId="1A519405" wp14:editId="57A6C65B">
            <wp:extent cx="3103123" cy="2373828"/>
            <wp:effectExtent l="0" t="0" r="0" b="1270"/>
            <wp:docPr id="3" name="Picture 3" descr="An external file that holds a picture, illustration, etc.&#10;Object name is ukmss-32582-f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ukmss-32582-f0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6814" cy="2384302"/>
                    </a:xfrm>
                    <a:prstGeom prst="rect">
                      <a:avLst/>
                    </a:prstGeom>
                    <a:noFill/>
                    <a:ln>
                      <a:noFill/>
                    </a:ln>
                  </pic:spPr>
                </pic:pic>
              </a:graphicData>
            </a:graphic>
          </wp:inline>
        </w:drawing>
      </w:r>
      <w:r w:rsidRPr="00F031F7">
        <w:fldChar w:fldCharType="end"/>
      </w:r>
    </w:p>
    <w:p w14:paraId="04503099" w14:textId="6A066F26" w:rsidR="00F031F7" w:rsidRPr="00F031F7" w:rsidRDefault="00F031F7" w:rsidP="00F031F7">
      <w:pPr>
        <w:spacing w:line="360" w:lineRule="auto"/>
        <w:jc w:val="center"/>
        <w:rPr>
          <w:rFonts w:ascii="Calibri" w:hAnsi="Calibri" w:cs="Calibri"/>
          <w:sz w:val="13"/>
          <w:szCs w:val="22"/>
          <w:lang w:val="en-US"/>
        </w:rPr>
      </w:pPr>
      <w:r w:rsidRPr="00F031F7">
        <w:rPr>
          <w:rFonts w:ascii="Calibri" w:hAnsi="Calibri" w:cs="Calibri"/>
          <w:sz w:val="13"/>
          <w:szCs w:val="22"/>
          <w:lang w:val="en-US"/>
        </w:rPr>
        <w:t>(</w:t>
      </w:r>
      <w:hyperlink r:id="rId14" w:history="1">
        <w:r w:rsidRPr="00F031F7">
          <w:rPr>
            <w:rStyle w:val="Hyperlink"/>
            <w:rFonts w:ascii="Calibri" w:hAnsi="Calibri" w:cs="Calibri"/>
            <w:sz w:val="13"/>
            <w:szCs w:val="22"/>
            <w:lang w:val="en-US"/>
          </w:rPr>
          <w:t>https://www.ncbi.nlm.nih.gov/pmc/articles/PMC3163293/</w:t>
        </w:r>
      </w:hyperlink>
      <w:r w:rsidRPr="00F031F7">
        <w:rPr>
          <w:rFonts w:ascii="Calibri" w:hAnsi="Calibri" w:cs="Calibri"/>
          <w:sz w:val="13"/>
          <w:szCs w:val="22"/>
          <w:lang w:val="en-US"/>
        </w:rPr>
        <w:t>)</w:t>
      </w:r>
    </w:p>
    <w:p w14:paraId="7B0BD522" w14:textId="335624CD" w:rsidR="005138C4" w:rsidRPr="00007CFA" w:rsidRDefault="005138C4" w:rsidP="006F6801">
      <w:pPr>
        <w:pStyle w:val="ListParagraph"/>
        <w:numPr>
          <w:ilvl w:val="0"/>
          <w:numId w:val="2"/>
        </w:numPr>
        <w:spacing w:line="360" w:lineRule="auto"/>
        <w:rPr>
          <w:rFonts w:ascii="Calibri" w:hAnsi="Calibri" w:cs="Calibri"/>
          <w:sz w:val="22"/>
          <w:szCs w:val="22"/>
          <w:lang w:val="en-US"/>
        </w:rPr>
      </w:pPr>
      <w:r w:rsidRPr="0076321B">
        <w:rPr>
          <w:rFonts w:ascii="Calibri" w:hAnsi="Calibri" w:cs="Calibri"/>
          <w:sz w:val="22"/>
          <w:szCs w:val="22"/>
          <w:lang w:val="en-US"/>
        </w:rPr>
        <w:lastRenderedPageBreak/>
        <w:t>Opioids receptors</w:t>
      </w:r>
      <w:r w:rsidR="0076321B" w:rsidRPr="0076321B">
        <w:rPr>
          <w:rFonts w:ascii="Calibri" w:hAnsi="Calibri" w:cs="Calibri"/>
          <w:sz w:val="22"/>
          <w:szCs w:val="22"/>
          <w:lang w:val="en-US"/>
        </w:rPr>
        <w:t xml:space="preserve"> (</w:t>
      </w:r>
      <w:r w:rsidR="0076321B" w:rsidRPr="0076321B">
        <w:rPr>
          <w:rFonts w:ascii="Calibri" w:hAnsi="Calibri" w:cs="Calibri"/>
          <w:color w:val="000000"/>
          <w:sz w:val="22"/>
          <w:szCs w:val="22"/>
          <w:lang w:val="en-US"/>
        </w:rPr>
        <w:t>μ-, κ- and δ-subtype)</w:t>
      </w:r>
      <w:r w:rsidRPr="00007CFA">
        <w:rPr>
          <w:rFonts w:ascii="Calibri" w:hAnsi="Calibri" w:cs="Calibri"/>
          <w:sz w:val="22"/>
          <w:szCs w:val="22"/>
          <w:lang w:val="en-US"/>
        </w:rPr>
        <w:t xml:space="preserve"> are found in GI enteric neurons and endocrine cells </w:t>
      </w:r>
    </w:p>
    <w:p w14:paraId="69AC3319" w14:textId="10B04F3C" w:rsidR="00007CFA" w:rsidRPr="00007CFA" w:rsidRDefault="00007CFA" w:rsidP="00007CFA">
      <w:pPr>
        <w:pStyle w:val="ListParagraph"/>
        <w:numPr>
          <w:ilvl w:val="1"/>
          <w:numId w:val="2"/>
        </w:numPr>
        <w:spacing w:line="360" w:lineRule="auto"/>
        <w:rPr>
          <w:rFonts w:ascii="Calibri" w:hAnsi="Calibri" w:cs="Calibri"/>
          <w:sz w:val="22"/>
          <w:szCs w:val="22"/>
          <w:lang w:val="en-US"/>
        </w:rPr>
      </w:pPr>
      <w:r w:rsidRPr="00007CFA">
        <w:rPr>
          <w:rFonts w:ascii="Calibri" w:hAnsi="Calibri" w:cs="Calibri"/>
          <w:color w:val="000000"/>
          <w:sz w:val="22"/>
          <w:szCs w:val="22"/>
          <w:lang w:val="en-US"/>
        </w:rPr>
        <w:t>In the human gut, μ-opioid receptors are present on myenteric and submucosal neurons and on immune cells in the lamina propria</w:t>
      </w:r>
    </w:p>
    <w:p w14:paraId="39B02AE9" w14:textId="4751691F" w:rsidR="005138C4" w:rsidRPr="00D43409" w:rsidRDefault="005138C4"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Have been shown to inhibit GI transmit by reducing acetylcholine (ACh) release and altering neuronal excitability </w:t>
      </w:r>
    </w:p>
    <w:p w14:paraId="7849EE8C" w14:textId="770A29E5" w:rsidR="005138C4" w:rsidRPr="00D43409" w:rsidRDefault="005138C4"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It can also increase smooth muscle activity whilst inhibiting coordinated propulsive peristalsis, resulting in disordered non-propulsive contractile activity </w:t>
      </w:r>
    </w:p>
    <w:p w14:paraId="1B7487CD" w14:textId="608A8C87" w:rsidR="00657970" w:rsidRPr="00D43409" w:rsidRDefault="0065797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In humans, opioid-induced constipation (OIC) is being studied. </w:t>
      </w:r>
    </w:p>
    <w:p w14:paraId="47005C37" w14:textId="6DCD7431" w:rsidR="00120865" w:rsidRPr="00D43409" w:rsidRDefault="00BE5429" w:rsidP="006F6801">
      <w:pPr>
        <w:spacing w:line="360" w:lineRule="auto"/>
        <w:rPr>
          <w:rFonts w:ascii="Calibri" w:hAnsi="Calibri" w:cs="Calibri"/>
          <w:sz w:val="22"/>
          <w:szCs w:val="22"/>
          <w:lang w:val="en-US"/>
        </w:rPr>
      </w:pPr>
      <w:r w:rsidRPr="00D43409">
        <w:rPr>
          <w:rFonts w:ascii="Calibri" w:hAnsi="Calibri" w:cs="Calibri"/>
          <w:sz w:val="22"/>
          <w:szCs w:val="22"/>
          <w:lang w:val="en-US"/>
        </w:rPr>
        <w:t>Clinical Manifestation</w:t>
      </w:r>
    </w:p>
    <w:p w14:paraId="147529B3" w14:textId="78834CB4" w:rsidR="00BE5429" w:rsidRPr="00D43409" w:rsidRDefault="0005213D"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Hypomotility results in food bolus stasis and disruption of normal absorptive function of GIT</w:t>
      </w:r>
    </w:p>
    <w:p w14:paraId="60228F99" w14:textId="6F3AE172" w:rsidR="0005213D" w:rsidRPr="00D43409" w:rsidRDefault="0005213D"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Negative consequences:</w:t>
      </w:r>
    </w:p>
    <w:p w14:paraId="36C99A8D" w14:textId="7B42FA85"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Aspiration pneumonia</w:t>
      </w:r>
    </w:p>
    <w:p w14:paraId="39B54C75" w14:textId="2EF4D21B"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Reflux esophagitis </w:t>
      </w:r>
    </w:p>
    <w:p w14:paraId="3B330287" w14:textId="674061FF"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Bacterial </w:t>
      </w:r>
      <w:r w:rsidR="00213C19" w:rsidRPr="00D43409">
        <w:rPr>
          <w:rFonts w:ascii="Calibri" w:hAnsi="Calibri" w:cs="Calibri"/>
          <w:sz w:val="22"/>
          <w:szCs w:val="22"/>
          <w:lang w:val="en-US"/>
        </w:rPr>
        <w:t xml:space="preserve">overgrowth of gut </w:t>
      </w:r>
      <w:r w:rsidR="00213C19" w:rsidRPr="00D43409">
        <w:rPr>
          <w:rFonts w:ascii="Calibri" w:hAnsi="Calibri" w:cs="Calibri"/>
          <w:sz w:val="22"/>
          <w:szCs w:val="22"/>
          <w:lang w:val="en-US"/>
        </w:rPr>
        <w:sym w:font="Wingdings" w:char="F0E0"/>
      </w:r>
      <w:r w:rsidRPr="00D43409">
        <w:rPr>
          <w:rFonts w:ascii="Calibri" w:hAnsi="Calibri" w:cs="Calibri"/>
          <w:sz w:val="22"/>
          <w:szCs w:val="22"/>
          <w:lang w:val="en-US"/>
        </w:rPr>
        <w:t xml:space="preserve"> bacterial translocation</w:t>
      </w:r>
    </w:p>
    <w:p w14:paraId="0FB25B8A" w14:textId="4F5C773F"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Abdominal </w:t>
      </w:r>
      <w:r w:rsidR="00213C19" w:rsidRPr="00D43409">
        <w:rPr>
          <w:rFonts w:ascii="Calibri" w:hAnsi="Calibri" w:cs="Calibri"/>
          <w:sz w:val="22"/>
          <w:szCs w:val="22"/>
          <w:lang w:val="en-US"/>
        </w:rPr>
        <w:t xml:space="preserve">distension </w:t>
      </w:r>
      <w:r w:rsidR="00213C19" w:rsidRPr="00D43409">
        <w:rPr>
          <w:rFonts w:ascii="Calibri" w:hAnsi="Calibri" w:cs="Calibri"/>
          <w:sz w:val="22"/>
          <w:szCs w:val="22"/>
          <w:lang w:val="en-US"/>
        </w:rPr>
        <w:sym w:font="Wingdings" w:char="F0E0"/>
      </w:r>
      <w:r w:rsidR="00213C19" w:rsidRPr="00D43409">
        <w:rPr>
          <w:rFonts w:ascii="Calibri" w:hAnsi="Calibri" w:cs="Calibri"/>
          <w:sz w:val="22"/>
          <w:szCs w:val="22"/>
          <w:lang w:val="en-US"/>
        </w:rPr>
        <w:t xml:space="preserve"> </w:t>
      </w:r>
      <w:r w:rsidRPr="00D43409">
        <w:rPr>
          <w:rFonts w:ascii="Calibri" w:hAnsi="Calibri" w:cs="Calibri"/>
          <w:sz w:val="22"/>
          <w:szCs w:val="22"/>
          <w:lang w:val="en-US"/>
        </w:rPr>
        <w:t>increased intraabdominal pressure</w:t>
      </w:r>
    </w:p>
    <w:p w14:paraId="08A6564D" w14:textId="72556AC5"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Fluid sequestration </w:t>
      </w:r>
      <w:r w:rsidRPr="00D43409">
        <w:rPr>
          <w:rFonts w:ascii="Calibri" w:hAnsi="Calibri" w:cs="Calibri"/>
          <w:sz w:val="22"/>
          <w:szCs w:val="22"/>
          <w:lang w:val="en-US"/>
        </w:rPr>
        <w:sym w:font="Wingdings" w:char="F0E0"/>
      </w:r>
      <w:r w:rsidRPr="00D43409">
        <w:rPr>
          <w:rFonts w:ascii="Calibri" w:hAnsi="Calibri" w:cs="Calibri"/>
          <w:sz w:val="22"/>
          <w:szCs w:val="22"/>
          <w:lang w:val="en-US"/>
        </w:rPr>
        <w:t xml:space="preserve"> nutrient/water/electrolytes losses, hypovolemia</w:t>
      </w:r>
    </w:p>
    <w:p w14:paraId="3975AC07" w14:textId="42CA1BD1" w:rsidR="0005213D" w:rsidRPr="00D43409" w:rsidRDefault="0005213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Delayed delivery of nutrition </w:t>
      </w:r>
    </w:p>
    <w:p w14:paraId="62C45DFF" w14:textId="3D3F0A47" w:rsidR="00371D6C" w:rsidRPr="00D43409" w:rsidRDefault="00D4526A" w:rsidP="006F6801">
      <w:pPr>
        <w:pStyle w:val="ListParagraph"/>
        <w:numPr>
          <w:ilvl w:val="0"/>
          <w:numId w:val="2"/>
        </w:numPr>
        <w:spacing w:line="360" w:lineRule="auto"/>
        <w:rPr>
          <w:rFonts w:ascii="Calibri" w:hAnsi="Calibri" w:cs="Calibri"/>
          <w:sz w:val="22"/>
          <w:szCs w:val="22"/>
          <w:lang w:val="en-US"/>
        </w:rPr>
      </w:pPr>
      <w:r>
        <w:rPr>
          <w:rFonts w:ascii="Calibri" w:hAnsi="Calibri" w:cs="Calibri"/>
          <w:sz w:val="22"/>
          <w:szCs w:val="22"/>
          <w:lang w:val="en-US"/>
        </w:rPr>
        <w:t>Clinical signs</w:t>
      </w:r>
      <w:r w:rsidR="00590288" w:rsidRPr="00D43409">
        <w:rPr>
          <w:rFonts w:ascii="Calibri" w:hAnsi="Calibri" w:cs="Calibri"/>
          <w:sz w:val="22"/>
          <w:szCs w:val="22"/>
          <w:lang w:val="en-US"/>
        </w:rPr>
        <w:t xml:space="preserve">:  anorexia, abdominal pain, abdominal distension, nausea, vomiting, and increased gastric residual volume </w:t>
      </w:r>
    </w:p>
    <w:p w14:paraId="73DE7AD3" w14:textId="77777777" w:rsidR="00120865" w:rsidRPr="00D43409" w:rsidRDefault="00120865" w:rsidP="006F6801">
      <w:pPr>
        <w:spacing w:line="360" w:lineRule="auto"/>
        <w:rPr>
          <w:rFonts w:ascii="Calibri" w:hAnsi="Calibri" w:cs="Calibri"/>
          <w:sz w:val="22"/>
          <w:szCs w:val="22"/>
          <w:lang w:val="en-US"/>
        </w:rPr>
      </w:pPr>
      <w:r w:rsidRPr="00D43409">
        <w:rPr>
          <w:rFonts w:ascii="Calibri" w:hAnsi="Calibri" w:cs="Calibri"/>
          <w:sz w:val="22"/>
          <w:szCs w:val="22"/>
          <w:lang w:val="en-US"/>
        </w:rPr>
        <w:t xml:space="preserve">Diagnostics </w:t>
      </w:r>
    </w:p>
    <w:p w14:paraId="30EA7F80" w14:textId="0340D49B" w:rsidR="00E05DF5" w:rsidRPr="00D43409" w:rsidRDefault="00E05DF5"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Contrast radiography</w:t>
      </w:r>
      <w:r w:rsidR="00CC0A80" w:rsidRPr="00D43409">
        <w:rPr>
          <w:rFonts w:ascii="Calibri" w:hAnsi="Calibri" w:cs="Calibri"/>
          <w:sz w:val="22"/>
          <w:szCs w:val="22"/>
          <w:lang w:val="en-US"/>
        </w:rPr>
        <w:t xml:space="preserve"> (e.g. barium study)</w:t>
      </w:r>
      <w:r w:rsidRPr="00D43409">
        <w:rPr>
          <w:rFonts w:ascii="Calibri" w:hAnsi="Calibri" w:cs="Calibri"/>
          <w:sz w:val="22"/>
          <w:szCs w:val="22"/>
          <w:lang w:val="en-US"/>
        </w:rPr>
        <w:t xml:space="preserve"> aid assessment of GI motility</w:t>
      </w:r>
    </w:p>
    <w:p w14:paraId="2CA1F90C" w14:textId="6AAA2496" w:rsidR="008F392A" w:rsidRPr="00D43409" w:rsidRDefault="008F392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Ultrasound</w:t>
      </w:r>
      <w:r w:rsidR="000B1F92" w:rsidRPr="00D43409">
        <w:rPr>
          <w:rFonts w:ascii="Calibri" w:hAnsi="Calibri" w:cs="Calibri"/>
          <w:sz w:val="22"/>
          <w:szCs w:val="22"/>
          <w:lang w:val="en-US"/>
        </w:rPr>
        <w:t xml:space="preserve"> allows noninvasive, qualitative and semiquantitative assessment of delayed gastric emptying and ileus </w:t>
      </w:r>
    </w:p>
    <w:p w14:paraId="5A6187F8" w14:textId="50CB239B" w:rsidR="000B1F92" w:rsidRPr="00D43409" w:rsidRDefault="009F0296"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Main disadvantage incl. subjectivity, lack of consensus on reference ranges</w:t>
      </w:r>
    </w:p>
    <w:p w14:paraId="1AF997D4" w14:textId="6D1B4997" w:rsidR="008E7BF8" w:rsidRPr="00D43409" w:rsidRDefault="008E7BF8"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Gastric residual volume (GRV) can be used as an indirect measurement of delayed gastric emptying (e.g. via NGT)</w:t>
      </w:r>
      <w:r w:rsidR="006D526A" w:rsidRPr="00D43409">
        <w:rPr>
          <w:rFonts w:ascii="Calibri" w:hAnsi="Calibri" w:cs="Calibri"/>
          <w:sz w:val="22"/>
          <w:szCs w:val="22"/>
          <w:lang w:val="en-US"/>
        </w:rPr>
        <w:t xml:space="preserve"> or ileus </w:t>
      </w:r>
    </w:p>
    <w:p w14:paraId="45CE49F7" w14:textId="78008561" w:rsidR="0085485B" w:rsidRPr="00D43409" w:rsidRDefault="0085485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Defined as the volume of fluid aspirated from the stomach after a given time period and before each new feeding </w:t>
      </w:r>
    </w:p>
    <w:p w14:paraId="383C3991" w14:textId="02F88C80" w:rsidR="00AC53B9" w:rsidRPr="00D43409" w:rsidRDefault="00AC53B9"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No defined</w:t>
      </w:r>
      <w:r w:rsidR="00AE42A4">
        <w:rPr>
          <w:rFonts w:ascii="Calibri" w:hAnsi="Calibri" w:cs="Calibri"/>
          <w:sz w:val="22"/>
          <w:szCs w:val="22"/>
          <w:lang w:val="en-US"/>
        </w:rPr>
        <w:t xml:space="preserve"> normal range </w:t>
      </w:r>
      <w:r w:rsidRPr="00D43409">
        <w:rPr>
          <w:rFonts w:ascii="Calibri" w:hAnsi="Calibri" w:cs="Calibri"/>
          <w:sz w:val="22"/>
          <w:szCs w:val="22"/>
          <w:lang w:val="en-US"/>
        </w:rPr>
        <w:t xml:space="preserve">in veterinary </w:t>
      </w:r>
      <w:r w:rsidR="00AE42A4">
        <w:rPr>
          <w:rFonts w:ascii="Calibri" w:hAnsi="Calibri" w:cs="Calibri"/>
          <w:sz w:val="22"/>
          <w:szCs w:val="22"/>
          <w:lang w:val="en-US"/>
        </w:rPr>
        <w:t>patients</w:t>
      </w:r>
    </w:p>
    <w:p w14:paraId="77F32983" w14:textId="77777777" w:rsidR="00AC53B9" w:rsidRPr="00D43409" w:rsidRDefault="00AC53B9"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Not well evaluated in critically ill veterinary patients. </w:t>
      </w:r>
    </w:p>
    <w:p w14:paraId="74B4FF22" w14:textId="27C17750" w:rsidR="007E5929" w:rsidRPr="00D43409" w:rsidRDefault="00B00B7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Historically, it was thought that high GRV can result in increased risk of gastric reflux and aspiration pneumonia</w:t>
      </w:r>
      <w:r w:rsidR="00530036" w:rsidRPr="00D43409">
        <w:rPr>
          <w:rFonts w:ascii="Calibri" w:hAnsi="Calibri" w:cs="Calibri"/>
          <w:sz w:val="22"/>
          <w:szCs w:val="22"/>
          <w:lang w:val="en-US"/>
        </w:rPr>
        <w:t xml:space="preserve">. This prompt regular suctioning of GRV in practice </w:t>
      </w:r>
    </w:p>
    <w:p w14:paraId="4AB022A4" w14:textId="4911BBEA" w:rsidR="0040501A" w:rsidRPr="00D43409" w:rsidRDefault="00C03F71"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R</w:t>
      </w:r>
      <w:r w:rsidR="0040501A" w:rsidRPr="00D43409">
        <w:rPr>
          <w:rFonts w:ascii="Calibri" w:hAnsi="Calibri" w:cs="Calibri"/>
          <w:sz w:val="22"/>
          <w:szCs w:val="22"/>
          <w:lang w:val="en-US"/>
        </w:rPr>
        <w:t>ecommendation in veterinary medicine suggested tha</w:t>
      </w:r>
      <w:r w:rsidRPr="00D43409">
        <w:rPr>
          <w:rFonts w:ascii="Calibri" w:hAnsi="Calibri" w:cs="Calibri"/>
          <w:sz w:val="22"/>
          <w:szCs w:val="22"/>
          <w:lang w:val="en-US"/>
        </w:rPr>
        <w:t xml:space="preserve">t GRV should be checked every 4-8 </w:t>
      </w:r>
      <w:r w:rsidR="0040501A" w:rsidRPr="00D43409">
        <w:rPr>
          <w:rFonts w:ascii="Calibri" w:hAnsi="Calibri" w:cs="Calibri"/>
          <w:sz w:val="22"/>
          <w:szCs w:val="22"/>
          <w:lang w:val="en-US"/>
        </w:rPr>
        <w:t>hours via aspiration of NGT</w:t>
      </w:r>
    </w:p>
    <w:p w14:paraId="5CAC834F" w14:textId="515F775E" w:rsidR="0040501A" w:rsidRPr="00D43409" w:rsidRDefault="0040501A"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Stop feeding if volume exceeds 8 ml/kg</w:t>
      </w:r>
      <w:r w:rsidR="000A0364" w:rsidRPr="00D43409">
        <w:rPr>
          <w:rFonts w:ascii="Calibri" w:hAnsi="Calibri" w:cs="Calibri"/>
          <w:sz w:val="22"/>
          <w:szCs w:val="22"/>
          <w:lang w:val="en-US"/>
        </w:rPr>
        <w:t xml:space="preserve"> or if GRV exceeds twice the volume of food infused in an hour </w:t>
      </w:r>
    </w:p>
    <w:p w14:paraId="0A589350" w14:textId="21821222" w:rsidR="000A0364" w:rsidRPr="00D43409" w:rsidRDefault="000A0364"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 clinical review of gastric residual volume in 2013 in Nutrition </w:t>
      </w:r>
      <w:r w:rsidR="005031A3" w:rsidRPr="00D43409">
        <w:rPr>
          <w:rFonts w:ascii="Calibri" w:hAnsi="Calibri" w:cs="Calibri"/>
          <w:sz w:val="22"/>
          <w:szCs w:val="22"/>
          <w:lang w:val="en-US"/>
        </w:rPr>
        <w:t>examined use of GRV in human</w:t>
      </w:r>
      <w:r w:rsidRPr="00D43409">
        <w:rPr>
          <w:rFonts w:ascii="Calibri" w:hAnsi="Calibri" w:cs="Calibri"/>
          <w:sz w:val="22"/>
          <w:szCs w:val="22"/>
          <w:lang w:val="en-US"/>
        </w:rPr>
        <w:t xml:space="preserve"> patients and showed that this practice of regular suctioning appeared unnecessary </w:t>
      </w:r>
      <w:r w:rsidR="006F6801">
        <w:rPr>
          <w:rFonts w:ascii="Calibri" w:hAnsi="Calibri" w:cs="Calibri"/>
          <w:sz w:val="22"/>
          <w:szCs w:val="22"/>
          <w:lang w:val="en-US"/>
        </w:rPr>
        <w:t>to guide nutrition</w:t>
      </w:r>
    </w:p>
    <w:p w14:paraId="0918CAAD" w14:textId="25CBF7F6" w:rsidR="001A6C85" w:rsidRPr="008D3356" w:rsidRDefault="004D651A" w:rsidP="002C13BE">
      <w:pPr>
        <w:pStyle w:val="ListParagraph"/>
        <w:numPr>
          <w:ilvl w:val="1"/>
          <w:numId w:val="2"/>
        </w:numPr>
        <w:spacing w:line="360" w:lineRule="auto"/>
        <w:rPr>
          <w:rFonts w:ascii="Calibri" w:hAnsi="Calibri" w:cs="Calibri"/>
          <w:sz w:val="22"/>
          <w:szCs w:val="22"/>
          <w:lang w:val="en-US"/>
        </w:rPr>
      </w:pPr>
      <w:r w:rsidRPr="008D3356">
        <w:rPr>
          <w:rFonts w:ascii="Calibri" w:hAnsi="Calibri" w:cs="Calibri"/>
          <w:sz w:val="22"/>
          <w:szCs w:val="22"/>
          <w:lang w:val="en-US"/>
        </w:rPr>
        <w:t xml:space="preserve">Recent retrospective study in JAMA showed that routine GRV monitoring reduced enteral nutritional intake whilst conferring no </w:t>
      </w:r>
      <w:r w:rsidR="000C165D" w:rsidRPr="008D3356">
        <w:rPr>
          <w:rFonts w:ascii="Calibri" w:hAnsi="Calibri" w:cs="Calibri"/>
          <w:sz w:val="22"/>
          <w:szCs w:val="22"/>
          <w:lang w:val="en-US"/>
        </w:rPr>
        <w:t xml:space="preserve">significant benefit to survival, length of hospitalization, </w:t>
      </w:r>
      <w:r w:rsidRPr="008D3356">
        <w:rPr>
          <w:rFonts w:ascii="Calibri" w:hAnsi="Calibri" w:cs="Calibri"/>
          <w:sz w:val="22"/>
          <w:szCs w:val="22"/>
          <w:lang w:val="en-US"/>
        </w:rPr>
        <w:t>or development of v</w:t>
      </w:r>
      <w:r w:rsidR="008D3356" w:rsidRPr="008D3356">
        <w:rPr>
          <w:rFonts w:ascii="Calibri" w:hAnsi="Calibri" w:cs="Calibri"/>
          <w:sz w:val="22"/>
          <w:szCs w:val="22"/>
          <w:lang w:val="en-US"/>
        </w:rPr>
        <w:t>entilation-associated pneumonia</w:t>
      </w:r>
    </w:p>
    <w:p w14:paraId="391AF07B" w14:textId="0E567142" w:rsidR="00120865" w:rsidRPr="00D43409" w:rsidRDefault="00EF635C" w:rsidP="006F6801">
      <w:pPr>
        <w:spacing w:line="360" w:lineRule="auto"/>
        <w:rPr>
          <w:rFonts w:ascii="Calibri" w:hAnsi="Calibri" w:cs="Calibri"/>
          <w:sz w:val="22"/>
          <w:szCs w:val="22"/>
          <w:lang w:val="en-US"/>
        </w:rPr>
      </w:pPr>
      <w:r w:rsidRPr="00D43409">
        <w:rPr>
          <w:rFonts w:ascii="Calibri" w:hAnsi="Calibri" w:cs="Calibri"/>
          <w:sz w:val="22"/>
          <w:szCs w:val="22"/>
          <w:lang w:val="en-US"/>
        </w:rPr>
        <w:t>Treatments</w:t>
      </w:r>
    </w:p>
    <w:p w14:paraId="25439817" w14:textId="22049E6C" w:rsidR="00EF635C" w:rsidRPr="00D43409" w:rsidRDefault="00EF635C"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Early enteral feeding, early ambulation, fluid therapy and multimodal pain management are necessary </w:t>
      </w:r>
    </w:p>
    <w:p w14:paraId="0F5DF174" w14:textId="12C6151E" w:rsidR="00EF635C" w:rsidRPr="00D43409" w:rsidRDefault="00EF635C" w:rsidP="006F6801">
      <w:pPr>
        <w:spacing w:line="360" w:lineRule="auto"/>
        <w:rPr>
          <w:rFonts w:ascii="Calibri" w:hAnsi="Calibri" w:cs="Calibri"/>
          <w:i/>
          <w:sz w:val="22"/>
          <w:szCs w:val="22"/>
          <w:lang w:val="en-US"/>
        </w:rPr>
      </w:pPr>
      <w:r w:rsidRPr="00D43409">
        <w:rPr>
          <w:rFonts w:ascii="Calibri" w:hAnsi="Calibri" w:cs="Calibri"/>
          <w:i/>
          <w:sz w:val="22"/>
          <w:szCs w:val="22"/>
          <w:lang w:val="en-US"/>
        </w:rPr>
        <w:t>Prokinetics</w:t>
      </w:r>
    </w:p>
    <w:p w14:paraId="268CA998" w14:textId="46F3C98A" w:rsidR="00F60631" w:rsidRPr="00D43409" w:rsidRDefault="00F60631" w:rsidP="006F6801">
      <w:pPr>
        <w:spacing w:line="360" w:lineRule="auto"/>
        <w:jc w:val="center"/>
        <w:rPr>
          <w:rFonts w:ascii="Calibri" w:hAnsi="Calibri" w:cs="Calibri"/>
          <w:sz w:val="22"/>
          <w:szCs w:val="22"/>
          <w:lang w:val="en-US"/>
        </w:rPr>
      </w:pPr>
      <w:r w:rsidRPr="00D43409">
        <w:rPr>
          <w:rFonts w:ascii="Calibri" w:hAnsi="Calibri" w:cs="Calibri"/>
          <w:noProof/>
          <w:sz w:val="22"/>
          <w:szCs w:val="22"/>
          <w:lang w:val="en-US"/>
        </w:rPr>
        <w:drawing>
          <wp:inline distT="0" distB="0" distL="0" distR="0" wp14:anchorId="118783FC" wp14:editId="02AF929E">
            <wp:extent cx="5928596" cy="270812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screen">
                      <a:extLst>
                        <a:ext uri="{28A0092B-C50C-407E-A947-70E740481C1C}">
                          <a14:useLocalDpi xmlns:a14="http://schemas.microsoft.com/office/drawing/2010/main"/>
                        </a:ext>
                      </a:extLst>
                    </a:blip>
                    <a:srcRect r="1129" b="4803"/>
                    <a:stretch/>
                  </pic:blipFill>
                  <pic:spPr bwMode="auto">
                    <a:xfrm>
                      <a:off x="0" y="0"/>
                      <a:ext cx="5953218" cy="2719376"/>
                    </a:xfrm>
                    <a:prstGeom prst="rect">
                      <a:avLst/>
                    </a:prstGeom>
                    <a:ln>
                      <a:noFill/>
                    </a:ln>
                    <a:extLst>
                      <a:ext uri="{53640926-AAD7-44D8-BBD7-CCE9431645EC}">
                        <a14:shadowObscured xmlns:a14="http://schemas.microsoft.com/office/drawing/2010/main"/>
                      </a:ext>
                    </a:extLst>
                  </pic:spPr>
                </pic:pic>
              </a:graphicData>
            </a:graphic>
          </wp:inline>
        </w:drawing>
      </w:r>
    </w:p>
    <w:p w14:paraId="5424D133" w14:textId="482ED56E" w:rsidR="00EF635C" w:rsidRPr="00D43409" w:rsidRDefault="00EF635C" w:rsidP="006F6801">
      <w:pPr>
        <w:pStyle w:val="ListParagraph"/>
        <w:numPr>
          <w:ilvl w:val="0"/>
          <w:numId w:val="5"/>
        </w:numPr>
        <w:spacing w:line="360" w:lineRule="auto"/>
        <w:rPr>
          <w:rFonts w:ascii="Calibri" w:hAnsi="Calibri" w:cs="Calibri"/>
          <w:b/>
          <w:sz w:val="22"/>
          <w:szCs w:val="22"/>
          <w:lang w:val="en-US"/>
        </w:rPr>
      </w:pPr>
      <w:r w:rsidRPr="00D43409">
        <w:rPr>
          <w:rFonts w:ascii="Calibri" w:hAnsi="Calibri" w:cs="Calibri"/>
          <w:b/>
          <w:sz w:val="22"/>
          <w:szCs w:val="22"/>
          <w:lang w:val="en-US"/>
        </w:rPr>
        <w:t>Dopaminergic receptor (D2) antagonists</w:t>
      </w:r>
    </w:p>
    <w:p w14:paraId="47BEC2F0" w14:textId="14EB4661" w:rsidR="00EF635C" w:rsidRPr="00D43409" w:rsidRDefault="00F2692C" w:rsidP="006F6801">
      <w:pPr>
        <w:pStyle w:val="ListParagraph"/>
        <w:numPr>
          <w:ilvl w:val="0"/>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MoA</w:t>
      </w:r>
      <w:proofErr w:type="spellEnd"/>
      <w:r w:rsidRPr="00D43409">
        <w:rPr>
          <w:rFonts w:ascii="Calibri" w:hAnsi="Calibri" w:cs="Calibri"/>
          <w:sz w:val="22"/>
          <w:szCs w:val="22"/>
          <w:lang w:val="en-US"/>
        </w:rPr>
        <w:t xml:space="preserve">: indirectly increase ACh release from postganglionic cholinergic neurons and promote intestinal smooth-muscle contraction and peristalsis </w:t>
      </w:r>
    </w:p>
    <w:p w14:paraId="46DE3B21" w14:textId="52884964" w:rsidR="003266E9" w:rsidRPr="00D43409" w:rsidRDefault="003266E9"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 xml:space="preserve">Domperidone </w:t>
      </w:r>
    </w:p>
    <w:p w14:paraId="77CED2CF" w14:textId="230A0E2F" w:rsidR="003266E9" w:rsidRPr="00D43409" w:rsidRDefault="003266E9"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Peripheral D2 antagonist with a2 and b2 adrenergic receptor antagonistic effects </w:t>
      </w:r>
    </w:p>
    <w:p w14:paraId="651DC575" w14:textId="5212E20B" w:rsidR="00840BC4" w:rsidRPr="00D43409" w:rsidRDefault="00840BC4"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Prokinetic effect:</w:t>
      </w:r>
    </w:p>
    <w:p w14:paraId="4380109C" w14:textId="5F5B347F" w:rsidR="003266E9" w:rsidRPr="00D43409" w:rsidRDefault="003266E9"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Less efficacious than metoclopramide as a gastric prokinetic </w:t>
      </w:r>
    </w:p>
    <w:p w14:paraId="414A3B50" w14:textId="38B981A0" w:rsidR="00883341" w:rsidRPr="00D43409" w:rsidRDefault="00883341"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 xml:space="preserve">May decrease frequency of corporeal, pyloric, and duodenal contraction and deteriorate </w:t>
      </w:r>
      <w:proofErr w:type="spellStart"/>
      <w:r w:rsidRPr="00D43409">
        <w:rPr>
          <w:rFonts w:ascii="Calibri" w:hAnsi="Calibri" w:cs="Calibri"/>
          <w:sz w:val="22"/>
          <w:szCs w:val="22"/>
          <w:lang w:val="en-US"/>
        </w:rPr>
        <w:t>antropyloroduodenal</w:t>
      </w:r>
      <w:proofErr w:type="spellEnd"/>
      <w:r w:rsidRPr="00D43409">
        <w:rPr>
          <w:rFonts w:ascii="Calibri" w:hAnsi="Calibri" w:cs="Calibri"/>
          <w:sz w:val="22"/>
          <w:szCs w:val="22"/>
          <w:lang w:val="en-US"/>
        </w:rPr>
        <w:t xml:space="preserve"> coordination in the dog </w:t>
      </w:r>
    </w:p>
    <w:p w14:paraId="7E29048D" w14:textId="5BC8CC15" w:rsidR="00883341" w:rsidRPr="00D43409" w:rsidRDefault="00883341"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Minimal phasic effect on LES </w:t>
      </w:r>
    </w:p>
    <w:p w14:paraId="3976AD64" w14:textId="65FA495C" w:rsidR="00840BC4" w:rsidRPr="00D43409" w:rsidRDefault="00840BC4"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Antiemetic effect </w:t>
      </w:r>
    </w:p>
    <w:p w14:paraId="18E6B6AA" w14:textId="4AB84436" w:rsidR="00840BC4" w:rsidRPr="00D43409" w:rsidRDefault="00840BC4"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12-25x more potent than metoclopramide in attenuating apomorphine-induced emesis</w:t>
      </w:r>
    </w:p>
    <w:p w14:paraId="0152694C" w14:textId="41ADD80C" w:rsidR="00840BC4" w:rsidRPr="00D43409" w:rsidRDefault="00840BC4"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Not approved in the US</w:t>
      </w:r>
    </w:p>
    <w:p w14:paraId="42BCB181" w14:textId="53DCB9DA" w:rsidR="00EF635C" w:rsidRPr="00D43409" w:rsidRDefault="00EF635C" w:rsidP="006F6801">
      <w:pPr>
        <w:pStyle w:val="ListParagraph"/>
        <w:numPr>
          <w:ilvl w:val="0"/>
          <w:numId w:val="5"/>
        </w:numPr>
        <w:spacing w:line="360" w:lineRule="auto"/>
        <w:rPr>
          <w:rFonts w:ascii="Calibri" w:hAnsi="Calibri" w:cs="Calibri"/>
          <w:b/>
          <w:sz w:val="22"/>
          <w:szCs w:val="22"/>
          <w:lang w:val="en-US"/>
        </w:rPr>
      </w:pPr>
      <w:r w:rsidRPr="00D43409">
        <w:rPr>
          <w:rFonts w:ascii="Calibri" w:hAnsi="Calibri" w:cs="Calibri"/>
          <w:b/>
          <w:sz w:val="22"/>
          <w:szCs w:val="22"/>
          <w:lang w:val="en-US"/>
        </w:rPr>
        <w:t>Serotonin receptor (5-HT) agonists, antagonists</w:t>
      </w:r>
    </w:p>
    <w:p w14:paraId="17702EF8" w14:textId="2E62C254" w:rsidR="00EF635C" w:rsidRPr="00D43409" w:rsidRDefault="00840BC4"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5-HT is released from enterochromaffin cells of the GI mucosa, which activates neural pathways associated w/ secretion, peristalsis, motility and sensation </w:t>
      </w:r>
    </w:p>
    <w:p w14:paraId="1DC5E018" w14:textId="2BFC8900" w:rsidR="00840BC4" w:rsidRPr="00D43409" w:rsidRDefault="00840BC4"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Multiple receptor subtypes – 1, 2, 3, 4 and 7 – present in the GIT </w:t>
      </w:r>
    </w:p>
    <w:p w14:paraId="24519856" w14:textId="13D34A2F" w:rsidR="00EF1026" w:rsidRPr="00D43409" w:rsidRDefault="00EF1026"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Motility modulated via 5-HT4: presynaptic release stimulates ACh release from postganglionic cholinergic neurons &gt;&gt; smooth muscle contraction </w:t>
      </w:r>
    </w:p>
    <w:p w14:paraId="66E5AAB8" w14:textId="42B29BAE" w:rsidR="00EF1026" w:rsidRPr="00D43409" w:rsidRDefault="00EF1026"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Antiemetic modulated via 5-HT3 (e.g. ondansetron, </w:t>
      </w:r>
      <w:proofErr w:type="spellStart"/>
      <w:r w:rsidRPr="00D43409">
        <w:rPr>
          <w:rFonts w:ascii="Calibri" w:hAnsi="Calibri" w:cs="Calibri"/>
          <w:sz w:val="22"/>
          <w:szCs w:val="22"/>
          <w:lang w:val="en-US"/>
        </w:rPr>
        <w:t>dolasetron</w:t>
      </w:r>
      <w:proofErr w:type="spellEnd"/>
      <w:r w:rsidRPr="00D43409">
        <w:rPr>
          <w:rFonts w:ascii="Calibri" w:hAnsi="Calibri" w:cs="Calibri"/>
          <w:sz w:val="22"/>
          <w:szCs w:val="22"/>
          <w:lang w:val="en-US"/>
        </w:rPr>
        <w:t xml:space="preserve">) </w:t>
      </w:r>
    </w:p>
    <w:p w14:paraId="7709A797" w14:textId="6E27EB67" w:rsidR="001527E0" w:rsidRPr="00D43409" w:rsidRDefault="001527E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Cisapride</w:t>
      </w:r>
    </w:p>
    <w:p w14:paraId="743A4494" w14:textId="4CAB7FA6" w:rsidR="001527E0" w:rsidRPr="00D43409" w:rsidRDefault="001527E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Prokinetic </w:t>
      </w:r>
      <w:r w:rsidR="00242F04" w:rsidRPr="00D43409">
        <w:rPr>
          <w:rFonts w:ascii="Calibri" w:hAnsi="Calibri" w:cs="Calibri"/>
          <w:sz w:val="22"/>
          <w:szCs w:val="22"/>
          <w:lang w:val="en-US"/>
        </w:rPr>
        <w:t>agent – direct effect via 5-HT4 agonism of ENS</w:t>
      </w:r>
    </w:p>
    <w:p w14:paraId="1DB80042" w14:textId="77777777" w:rsidR="00C80E9A" w:rsidRPr="00D43409" w:rsidRDefault="00C80E9A"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Stimulates distal esophageal peristalsis in species with smooth muscles (i.e. cats, humans)</w:t>
      </w:r>
    </w:p>
    <w:p w14:paraId="36EEA2FE" w14:textId="77777777" w:rsidR="00C80E9A" w:rsidRPr="00D43409" w:rsidRDefault="00C80E9A"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Stimulates gastric emptying, increasing </w:t>
      </w:r>
      <w:proofErr w:type="spellStart"/>
      <w:r w:rsidRPr="00D43409">
        <w:rPr>
          <w:rFonts w:ascii="Calibri" w:hAnsi="Calibri" w:cs="Calibri"/>
          <w:sz w:val="22"/>
          <w:szCs w:val="22"/>
          <w:lang w:val="en-US"/>
        </w:rPr>
        <w:t>gastroesphageal</w:t>
      </w:r>
      <w:proofErr w:type="spellEnd"/>
      <w:r w:rsidRPr="00D43409">
        <w:rPr>
          <w:rFonts w:ascii="Calibri" w:hAnsi="Calibri" w:cs="Calibri"/>
          <w:sz w:val="22"/>
          <w:szCs w:val="22"/>
          <w:lang w:val="en-US"/>
        </w:rPr>
        <w:t xml:space="preserve"> sphincter pressure, and enhances </w:t>
      </w:r>
      <w:proofErr w:type="spellStart"/>
      <w:r w:rsidRPr="00D43409">
        <w:rPr>
          <w:rFonts w:ascii="Calibri" w:hAnsi="Calibri" w:cs="Calibri"/>
          <w:sz w:val="22"/>
          <w:szCs w:val="22"/>
          <w:lang w:val="en-US"/>
        </w:rPr>
        <w:t>antropyloroduodenal</w:t>
      </w:r>
      <w:proofErr w:type="spellEnd"/>
      <w:r w:rsidRPr="00D43409">
        <w:rPr>
          <w:rFonts w:ascii="Calibri" w:hAnsi="Calibri" w:cs="Calibri"/>
          <w:sz w:val="22"/>
          <w:szCs w:val="22"/>
          <w:lang w:val="en-US"/>
        </w:rPr>
        <w:t xml:space="preserve"> coordination</w:t>
      </w:r>
    </w:p>
    <w:p w14:paraId="7BEFBAE5" w14:textId="77777777" w:rsidR="00C80E9A" w:rsidRPr="00D43409" w:rsidRDefault="00C80E9A"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More potent than metoclopramide in combating delayed gastric emptying </w:t>
      </w:r>
    </w:p>
    <w:p w14:paraId="1061046A" w14:textId="665BEF22" w:rsidR="001A33FD" w:rsidRPr="00D43409" w:rsidRDefault="001A33FD"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5-HT</w:t>
      </w:r>
      <w:r w:rsidR="003B1774" w:rsidRPr="00D43409">
        <w:rPr>
          <w:rFonts w:ascii="Calibri" w:hAnsi="Calibri" w:cs="Calibri"/>
          <w:sz w:val="22"/>
          <w:szCs w:val="22"/>
          <w:lang w:val="en-US"/>
        </w:rPr>
        <w:t>1 and 3 antagonists</w:t>
      </w:r>
      <w:r w:rsidR="00242F04" w:rsidRPr="00D43409">
        <w:rPr>
          <w:rFonts w:ascii="Calibri" w:hAnsi="Calibri" w:cs="Calibri"/>
          <w:sz w:val="22"/>
          <w:szCs w:val="22"/>
          <w:lang w:val="en-US"/>
        </w:rPr>
        <w:t xml:space="preserve"> </w:t>
      </w:r>
      <w:r w:rsidR="003B1774" w:rsidRPr="00D43409">
        <w:rPr>
          <w:rFonts w:ascii="Calibri" w:hAnsi="Calibri" w:cs="Calibri"/>
          <w:sz w:val="22"/>
          <w:szCs w:val="22"/>
          <w:lang w:val="en-US"/>
        </w:rPr>
        <w:t>–</w:t>
      </w:r>
      <w:r w:rsidR="00242F04" w:rsidRPr="00D43409">
        <w:rPr>
          <w:rFonts w:ascii="Calibri" w:hAnsi="Calibri" w:cs="Calibri"/>
          <w:sz w:val="22"/>
          <w:szCs w:val="22"/>
          <w:lang w:val="en-US"/>
        </w:rPr>
        <w:t xml:space="preserve"> </w:t>
      </w:r>
      <w:r w:rsidR="00C80E9A" w:rsidRPr="00D43409">
        <w:rPr>
          <w:rFonts w:ascii="Calibri" w:hAnsi="Calibri" w:cs="Calibri"/>
          <w:sz w:val="22"/>
          <w:szCs w:val="22"/>
          <w:lang w:val="en-US"/>
        </w:rPr>
        <w:t xml:space="preserve">stimulates colonic motility </w:t>
      </w:r>
      <w:r w:rsidR="00242F04" w:rsidRPr="00D43409">
        <w:rPr>
          <w:rFonts w:ascii="Calibri" w:hAnsi="Calibri" w:cs="Calibri"/>
          <w:sz w:val="22"/>
          <w:szCs w:val="22"/>
          <w:lang w:val="en-US"/>
        </w:rPr>
        <w:t xml:space="preserve"> </w:t>
      </w:r>
    </w:p>
    <w:p w14:paraId="282139F7" w14:textId="4C85D09C" w:rsidR="00505BC4" w:rsidRPr="00D43409" w:rsidRDefault="00505BC4"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Adverse effect of QT interval prolongation and slowing of cardiac repolarization via blockade of rapid component of delayed rectifier K+ channel is NOT seen in veterinary patients </w:t>
      </w:r>
    </w:p>
    <w:p w14:paraId="22DDEDAC" w14:textId="625AFEF9" w:rsidR="00631CC0" w:rsidRPr="00D43409" w:rsidRDefault="00631CC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Adverse effect:  increased defecation, head pain, abdominal pain, cramping, flatulence </w:t>
      </w:r>
    </w:p>
    <w:p w14:paraId="486F3A99" w14:textId="0C7EB6DF" w:rsidR="001527E0" w:rsidRPr="00D43409" w:rsidRDefault="001527E0"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t>Metoclopramide</w:t>
      </w:r>
    </w:p>
    <w:p w14:paraId="64C32C4B" w14:textId="6BAABCAA" w:rsidR="00AB1F31" w:rsidRDefault="00AB1F31" w:rsidP="006F6801">
      <w:pPr>
        <w:pStyle w:val="ListParagraph"/>
        <w:numPr>
          <w:ilvl w:val="1"/>
          <w:numId w:val="2"/>
        </w:numPr>
        <w:spacing w:line="360" w:lineRule="auto"/>
        <w:rPr>
          <w:rFonts w:ascii="Calibri" w:hAnsi="Calibri" w:cs="Calibri"/>
          <w:sz w:val="22"/>
          <w:szCs w:val="22"/>
          <w:lang w:val="en-US"/>
        </w:rPr>
      </w:pPr>
      <w:r>
        <w:rPr>
          <w:rFonts w:ascii="Calibri" w:hAnsi="Calibri" w:cs="Calibri"/>
          <w:sz w:val="22"/>
          <w:szCs w:val="22"/>
          <w:lang w:val="en-US"/>
        </w:rPr>
        <w:t>A Mixed 5-HT3 antagonist/ 5-HT4 agonist</w:t>
      </w:r>
    </w:p>
    <w:p w14:paraId="4507F9CA" w14:textId="46941C49" w:rsidR="00316DB5" w:rsidRPr="00D43409" w:rsidRDefault="00316DB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Prokinetic effects via </w:t>
      </w:r>
      <w:r w:rsidR="00547E96" w:rsidRPr="00D43409">
        <w:rPr>
          <w:rFonts w:ascii="Calibri" w:hAnsi="Calibri" w:cs="Calibri"/>
          <w:sz w:val="22"/>
          <w:szCs w:val="22"/>
          <w:lang w:val="en-US"/>
        </w:rPr>
        <w:t>5-</w:t>
      </w:r>
      <w:r w:rsidR="00AB0632">
        <w:rPr>
          <w:rFonts w:ascii="Calibri" w:hAnsi="Calibri" w:cs="Calibri"/>
          <w:sz w:val="22"/>
          <w:szCs w:val="22"/>
          <w:lang w:val="en-US"/>
        </w:rPr>
        <w:t>HT</w:t>
      </w:r>
      <w:r w:rsidR="002F703B">
        <w:rPr>
          <w:rFonts w:ascii="Calibri" w:hAnsi="Calibri" w:cs="Calibri"/>
          <w:sz w:val="22"/>
          <w:szCs w:val="22"/>
          <w:lang w:val="en-US"/>
        </w:rPr>
        <w:t>4</w:t>
      </w:r>
      <w:r w:rsidR="00AB1F31">
        <w:rPr>
          <w:rFonts w:ascii="Calibri" w:hAnsi="Calibri" w:cs="Calibri"/>
          <w:sz w:val="22"/>
          <w:szCs w:val="22"/>
          <w:lang w:val="en-US"/>
        </w:rPr>
        <w:t xml:space="preserve"> receptor agonism </w:t>
      </w:r>
    </w:p>
    <w:p w14:paraId="679BDD98" w14:textId="126F9098" w:rsidR="00316DB5" w:rsidRPr="00D43409" w:rsidRDefault="00316DB5"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Improves coordination of </w:t>
      </w:r>
      <w:proofErr w:type="spellStart"/>
      <w:r w:rsidRPr="00D43409">
        <w:rPr>
          <w:rFonts w:ascii="Calibri" w:hAnsi="Calibri" w:cs="Calibri"/>
          <w:sz w:val="22"/>
          <w:szCs w:val="22"/>
          <w:lang w:val="en-US"/>
        </w:rPr>
        <w:t>gastropyloric</w:t>
      </w:r>
      <w:proofErr w:type="spellEnd"/>
      <w:r w:rsidRPr="00D43409">
        <w:rPr>
          <w:rFonts w:ascii="Calibri" w:hAnsi="Calibri" w:cs="Calibri"/>
          <w:sz w:val="22"/>
          <w:szCs w:val="22"/>
          <w:lang w:val="en-US"/>
        </w:rPr>
        <w:t xml:space="preserve"> small intestinal motor function </w:t>
      </w:r>
    </w:p>
    <w:p w14:paraId="69003A7E" w14:textId="798AF24D" w:rsidR="00AE2B39" w:rsidRPr="00D43409" w:rsidRDefault="00AE2B39"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Shown to potentiate LES tone, decrease fundic receptive relaxation, and increase gastric emptying in veterinary patients </w:t>
      </w:r>
    </w:p>
    <w:p w14:paraId="412096DD" w14:textId="17B100D3" w:rsidR="003A60B1" w:rsidRPr="00D43409" w:rsidRDefault="000974F3" w:rsidP="006F6801">
      <w:pPr>
        <w:pStyle w:val="ListParagraph"/>
        <w:numPr>
          <w:ilvl w:val="2"/>
          <w:numId w:val="2"/>
        </w:numPr>
        <w:spacing w:line="360" w:lineRule="auto"/>
        <w:rPr>
          <w:rFonts w:ascii="Calibri" w:hAnsi="Calibri" w:cs="Calibri"/>
          <w:sz w:val="22"/>
          <w:szCs w:val="22"/>
          <w:lang w:val="en-US"/>
        </w:rPr>
      </w:pPr>
      <w:r>
        <w:rPr>
          <w:rFonts w:ascii="Calibri" w:hAnsi="Calibri" w:cs="Calibri"/>
          <w:sz w:val="22"/>
          <w:szCs w:val="22"/>
          <w:lang w:val="en-US"/>
        </w:rPr>
        <w:t>No</w:t>
      </w:r>
      <w:r w:rsidR="003A60B1" w:rsidRPr="00D43409">
        <w:rPr>
          <w:rFonts w:ascii="Calibri" w:hAnsi="Calibri" w:cs="Calibri"/>
          <w:sz w:val="22"/>
          <w:szCs w:val="22"/>
          <w:lang w:val="en-US"/>
        </w:rPr>
        <w:t xml:space="preserve"> documented effects in distal small intestine or in the colon </w:t>
      </w:r>
    </w:p>
    <w:p w14:paraId="5FF6F6D6" w14:textId="4D49BC65" w:rsidR="00457327" w:rsidRPr="00D43409" w:rsidRDefault="00457327"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Short </w:t>
      </w:r>
      <w:r w:rsidR="000D2BB6" w:rsidRPr="00D43409">
        <w:rPr>
          <w:rFonts w:ascii="Calibri" w:hAnsi="Calibri" w:cs="Calibri"/>
          <w:sz w:val="22"/>
          <w:szCs w:val="22"/>
          <w:lang w:val="en-US"/>
        </w:rPr>
        <w:t>half-life</w:t>
      </w:r>
      <w:r w:rsidRPr="00D43409">
        <w:rPr>
          <w:rFonts w:ascii="Calibri" w:hAnsi="Calibri" w:cs="Calibri"/>
          <w:sz w:val="22"/>
          <w:szCs w:val="22"/>
          <w:lang w:val="en-US"/>
        </w:rPr>
        <w:t xml:space="preserve"> therefore QID administration or CRI preferable </w:t>
      </w:r>
    </w:p>
    <w:p w14:paraId="032896F1" w14:textId="3613E5EE" w:rsidR="005838BA" w:rsidRPr="00D43409" w:rsidRDefault="005838B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lastRenderedPageBreak/>
        <w:t xml:space="preserve">Interaction: can enhance </w:t>
      </w:r>
      <w:r w:rsidR="003E5BBB" w:rsidRPr="00D43409">
        <w:rPr>
          <w:rFonts w:ascii="Calibri" w:hAnsi="Calibri" w:cs="Calibri"/>
          <w:sz w:val="22"/>
          <w:szCs w:val="22"/>
          <w:lang w:val="en-US"/>
        </w:rPr>
        <w:t>bioavailability</w:t>
      </w:r>
      <w:r w:rsidRPr="00D43409">
        <w:rPr>
          <w:rFonts w:ascii="Calibri" w:hAnsi="Calibri" w:cs="Calibri"/>
          <w:sz w:val="22"/>
          <w:szCs w:val="22"/>
          <w:lang w:val="en-US"/>
        </w:rPr>
        <w:t xml:space="preserve"> of cyclosporin</w:t>
      </w:r>
      <w:r w:rsidR="003E5BBB" w:rsidRPr="00D43409">
        <w:rPr>
          <w:rFonts w:ascii="Calibri" w:hAnsi="Calibri" w:cs="Calibri"/>
          <w:sz w:val="22"/>
          <w:szCs w:val="22"/>
          <w:lang w:val="en-US"/>
        </w:rPr>
        <w:t>e</w:t>
      </w:r>
    </w:p>
    <w:p w14:paraId="0BD3678B" w14:textId="37040356" w:rsidR="00766680" w:rsidRPr="00D43409" w:rsidRDefault="0076668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Adverse effect: 0.2% risk of developing “extrapyramidal signs” via dopamine antagonist including involuntary muscle spasms, motor restlessness, an inappropriate aggression </w:t>
      </w:r>
    </w:p>
    <w:p w14:paraId="19D6B51E" w14:textId="5CEF067B" w:rsidR="006B03A2" w:rsidRPr="00D43409" w:rsidRDefault="006B03A2"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Tx: anti-histamines, BDZ, beta adrenergic antagonists, or dopamine agonists </w:t>
      </w:r>
    </w:p>
    <w:p w14:paraId="0B4203AD" w14:textId="7E93BA51" w:rsidR="00696F71" w:rsidRPr="00D43409" w:rsidRDefault="00696F71"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Some novel 5-HT agonists that is under investigation including </w:t>
      </w:r>
      <w:proofErr w:type="spellStart"/>
      <w:r w:rsidRPr="00D43409">
        <w:rPr>
          <w:rFonts w:ascii="Calibri" w:hAnsi="Calibri" w:cs="Calibri"/>
          <w:sz w:val="22"/>
          <w:szCs w:val="22"/>
          <w:lang w:val="en-US"/>
        </w:rPr>
        <w:t>velusetrag</w:t>
      </w:r>
      <w:proofErr w:type="spellEnd"/>
      <w:r w:rsidRPr="00D43409">
        <w:rPr>
          <w:rFonts w:ascii="Calibri" w:hAnsi="Calibri" w:cs="Calibri"/>
          <w:sz w:val="22"/>
          <w:szCs w:val="22"/>
          <w:lang w:val="en-US"/>
        </w:rPr>
        <w:t xml:space="preserve">, </w:t>
      </w:r>
      <w:proofErr w:type="spellStart"/>
      <w:r w:rsidRPr="00D43409">
        <w:rPr>
          <w:rFonts w:ascii="Calibri" w:hAnsi="Calibri" w:cs="Calibri"/>
          <w:sz w:val="22"/>
          <w:szCs w:val="22"/>
          <w:lang w:val="en-US"/>
        </w:rPr>
        <w:t>tegaserod</w:t>
      </w:r>
      <w:proofErr w:type="spellEnd"/>
      <w:r w:rsidRPr="00D43409">
        <w:rPr>
          <w:rFonts w:ascii="Calibri" w:hAnsi="Calibri" w:cs="Calibri"/>
          <w:sz w:val="22"/>
          <w:szCs w:val="22"/>
          <w:lang w:val="en-US"/>
        </w:rPr>
        <w:t xml:space="preserve">, </w:t>
      </w:r>
      <w:proofErr w:type="spellStart"/>
      <w:r w:rsidRPr="00D43409">
        <w:rPr>
          <w:rFonts w:ascii="Calibri" w:hAnsi="Calibri" w:cs="Calibri"/>
          <w:sz w:val="22"/>
          <w:szCs w:val="22"/>
          <w:lang w:val="en-US"/>
        </w:rPr>
        <w:t>mosapride</w:t>
      </w:r>
      <w:proofErr w:type="spellEnd"/>
      <w:r w:rsidRPr="00D43409">
        <w:rPr>
          <w:rFonts w:ascii="Calibri" w:hAnsi="Calibri" w:cs="Calibri"/>
          <w:sz w:val="22"/>
          <w:szCs w:val="22"/>
          <w:lang w:val="en-US"/>
        </w:rPr>
        <w:t xml:space="preserve">, and prucalopride </w:t>
      </w:r>
    </w:p>
    <w:p w14:paraId="249758F7" w14:textId="21A9546A" w:rsidR="00EF635C" w:rsidRPr="00D43409" w:rsidRDefault="00EF635C" w:rsidP="006F6801">
      <w:pPr>
        <w:pStyle w:val="ListParagraph"/>
        <w:numPr>
          <w:ilvl w:val="0"/>
          <w:numId w:val="5"/>
        </w:numPr>
        <w:spacing w:line="360" w:lineRule="auto"/>
        <w:rPr>
          <w:rFonts w:ascii="Calibri" w:hAnsi="Calibri" w:cs="Calibri"/>
          <w:b/>
          <w:sz w:val="22"/>
          <w:szCs w:val="22"/>
          <w:lang w:val="en-US"/>
        </w:rPr>
      </w:pPr>
      <w:r w:rsidRPr="00D43409">
        <w:rPr>
          <w:rFonts w:ascii="Calibri" w:hAnsi="Calibri" w:cs="Calibri"/>
          <w:b/>
          <w:sz w:val="22"/>
          <w:szCs w:val="22"/>
          <w:lang w:val="en-US"/>
        </w:rPr>
        <w:t>Motilin/Ghrelin Receptor agonists</w:t>
      </w:r>
    </w:p>
    <w:p w14:paraId="51280E29" w14:textId="7D44F8B8" w:rsidR="00EF635C" w:rsidRPr="00D43409" w:rsidRDefault="00603927"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Motilin is a peptide synthesized by endocrine cells of SI mucosa</w:t>
      </w:r>
    </w:p>
    <w:p w14:paraId="13A7AE07" w14:textId="751216C5" w:rsidR="00434740" w:rsidRPr="00D43409" w:rsidRDefault="0043474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Has a cyclical increase in plasma level which correlates with their action of upregulating interdigestive MMC (strong peristatic contractions, phase III of MMC)</w:t>
      </w:r>
    </w:p>
    <w:p w14:paraId="2A5D967C" w14:textId="6362DF19" w:rsidR="003159D9" w:rsidRPr="00D43409" w:rsidRDefault="003159D9"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Motilin receptors on cholinergic nerves </w:t>
      </w:r>
    </w:p>
    <w:p w14:paraId="3B606D11" w14:textId="6F3986E5" w:rsidR="00603927" w:rsidRPr="00D43409" w:rsidRDefault="00603927"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Ghrelin is a peptide produced by parietal cells of the gastric mucosa as endogenous ligand for growth hormone </w:t>
      </w:r>
    </w:p>
    <w:p w14:paraId="61635F2D" w14:textId="2D03C9F8" w:rsidR="00B13FF8" w:rsidRPr="00D43409" w:rsidRDefault="005E142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Binds </w:t>
      </w:r>
      <w:r w:rsidR="00093F35" w:rsidRPr="00D43409">
        <w:rPr>
          <w:rFonts w:ascii="Calibri" w:hAnsi="Calibri" w:cs="Calibri"/>
          <w:sz w:val="22"/>
          <w:szCs w:val="22"/>
          <w:lang w:val="en-US"/>
        </w:rPr>
        <w:t>to ghrelin receptor, found on endocrine cells of the gastric mucosa</w:t>
      </w:r>
    </w:p>
    <w:p w14:paraId="3E004FD7" w14:textId="0567F7EE" w:rsidR="00093F35" w:rsidRPr="00D43409" w:rsidRDefault="00093F3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Increases gastric emptying and MMC </w:t>
      </w:r>
    </w:p>
    <w:p w14:paraId="3985BEAF" w14:textId="5AF11404" w:rsidR="00903A9C" w:rsidRPr="00D43409" w:rsidRDefault="00903A9C"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Macrolide antimicrobials can increase GI motility by acting on motilin receptors on the smooth muscles of the GI tract </w:t>
      </w:r>
    </w:p>
    <w:p w14:paraId="1508FAE7" w14:textId="6D99D27D" w:rsidR="00BD73A3" w:rsidRPr="00D43409" w:rsidRDefault="0060648B"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b/>
          <w:sz w:val="22"/>
          <w:szCs w:val="22"/>
          <w:lang w:val="en-US"/>
        </w:rPr>
        <w:t>Erythromycin</w:t>
      </w:r>
      <w:r w:rsidR="00903A9C" w:rsidRPr="00D43409">
        <w:rPr>
          <w:rFonts w:ascii="Calibri" w:hAnsi="Calibri" w:cs="Calibri"/>
          <w:sz w:val="22"/>
          <w:szCs w:val="22"/>
          <w:lang w:val="en-US"/>
        </w:rPr>
        <w:t xml:space="preserve"> mimics effect of motilin in upper GIT, stimulating motility </w:t>
      </w:r>
    </w:p>
    <w:p w14:paraId="038CE8AF" w14:textId="7B4DCBA5" w:rsidR="00695EC9" w:rsidRPr="00D43409" w:rsidRDefault="00902B3C"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Dogs: mediated via 5-HT3 cholinergic pathways</w:t>
      </w:r>
    </w:p>
    <w:p w14:paraId="1A9C5AA2" w14:textId="492A2E12" w:rsidR="00902B3C" w:rsidRPr="00D43409" w:rsidRDefault="00902B3C"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Cats: mediated via direct stimulation of smooth muscle motilin receptors</w:t>
      </w:r>
    </w:p>
    <w:p w14:paraId="43AFC520" w14:textId="5B7A8E26" w:rsidR="00902B3C" w:rsidRPr="00D43409" w:rsidRDefault="003E23B9"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Shown to lower LES tone, increase antral contractions and gastric emptying, and decrease small intestinal transit time </w:t>
      </w:r>
    </w:p>
    <w:p w14:paraId="6DE4F5AE" w14:textId="5F283676" w:rsidR="00E65162" w:rsidRPr="00D43409" w:rsidRDefault="00E65162" w:rsidP="006F6801">
      <w:pPr>
        <w:pStyle w:val="ListParagraph"/>
        <w:numPr>
          <w:ilvl w:val="2"/>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Side effect rare and generally well tolerated </w:t>
      </w:r>
    </w:p>
    <w:p w14:paraId="03B202F5" w14:textId="56C8C87F" w:rsidR="00E65162" w:rsidRPr="00D43409" w:rsidRDefault="00E65162" w:rsidP="006F6801">
      <w:pPr>
        <w:pStyle w:val="ListParagraph"/>
        <w:numPr>
          <w:ilvl w:val="3"/>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High dose can cause QT prolongation, nausea, and inappetence </w:t>
      </w:r>
    </w:p>
    <w:p w14:paraId="148E2532" w14:textId="01FC767F" w:rsidR="00BD73A3" w:rsidRPr="00D43409" w:rsidRDefault="00BD73A3"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Azithromycin </w:t>
      </w:r>
      <w:r w:rsidR="00AA2E0B" w:rsidRPr="00D43409">
        <w:rPr>
          <w:rFonts w:ascii="Calibri" w:hAnsi="Calibri" w:cs="Calibri"/>
          <w:sz w:val="22"/>
          <w:szCs w:val="22"/>
          <w:lang w:val="en-US"/>
        </w:rPr>
        <w:t xml:space="preserve">– currently </w:t>
      </w:r>
      <w:r w:rsidR="00C71624" w:rsidRPr="00D43409">
        <w:rPr>
          <w:rFonts w:ascii="Calibri" w:hAnsi="Calibri" w:cs="Calibri"/>
          <w:sz w:val="22"/>
          <w:szCs w:val="22"/>
          <w:lang w:val="en-US"/>
        </w:rPr>
        <w:t>being studied</w:t>
      </w:r>
      <w:r w:rsidR="005E2E6B" w:rsidRPr="00D43409">
        <w:rPr>
          <w:rFonts w:ascii="Calibri" w:hAnsi="Calibri" w:cs="Calibri"/>
          <w:sz w:val="22"/>
          <w:szCs w:val="22"/>
          <w:lang w:val="en-US"/>
        </w:rPr>
        <w:t xml:space="preserve"> for its prokinetic properties </w:t>
      </w:r>
    </w:p>
    <w:p w14:paraId="6FBAF1A6" w14:textId="46089E80" w:rsidR="00EF635C" w:rsidRPr="00D43409" w:rsidRDefault="00EF635C" w:rsidP="006F6801">
      <w:pPr>
        <w:pStyle w:val="ListParagraph"/>
        <w:numPr>
          <w:ilvl w:val="0"/>
          <w:numId w:val="5"/>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Histamine receptor antagonists </w:t>
      </w:r>
    </w:p>
    <w:p w14:paraId="4BAAD7A0" w14:textId="31AD04A2" w:rsidR="00EF635C" w:rsidRPr="00D43409" w:rsidRDefault="00123705"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All histamine receptors are present in the GI tract</w:t>
      </w:r>
    </w:p>
    <w:p w14:paraId="2849C8E7" w14:textId="28E71252" w:rsidR="00123705" w:rsidRPr="00D43409" w:rsidRDefault="00123705"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H1 receptor activation causes contractions like muscarinic receptor activation </w:t>
      </w:r>
      <w:r w:rsidR="00F6099E" w:rsidRPr="00D43409">
        <w:rPr>
          <w:rFonts w:ascii="Calibri" w:hAnsi="Calibri" w:cs="Calibri"/>
          <w:sz w:val="22"/>
          <w:szCs w:val="22"/>
          <w:lang w:val="en-US"/>
        </w:rPr>
        <w:t xml:space="preserve">by increasing Ca2+ availability </w:t>
      </w:r>
    </w:p>
    <w:p w14:paraId="633AE0DF" w14:textId="5AE5A498" w:rsidR="003F3D32" w:rsidRPr="00D43409" w:rsidRDefault="003F3D3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H2 receptor mediates neurogenic contraction via cholinergic and noncholinergic excitatory transmission </w:t>
      </w:r>
    </w:p>
    <w:p w14:paraId="415AFE96" w14:textId="3F11504D" w:rsidR="003F3D32" w:rsidRPr="00D43409" w:rsidRDefault="003F3D3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H3 receptor plays a minor role in GI motility regulation </w:t>
      </w:r>
      <w:r w:rsidR="00125AC1" w:rsidRPr="00D43409">
        <w:rPr>
          <w:rFonts w:ascii="Calibri" w:hAnsi="Calibri" w:cs="Calibri"/>
          <w:sz w:val="22"/>
          <w:szCs w:val="22"/>
          <w:lang w:val="en-US"/>
        </w:rPr>
        <w:t xml:space="preserve">– under </w:t>
      </w:r>
      <w:r w:rsidR="00F63CF9" w:rsidRPr="00D43409">
        <w:rPr>
          <w:rFonts w:ascii="Calibri" w:hAnsi="Calibri" w:cs="Calibri"/>
          <w:sz w:val="22"/>
          <w:szCs w:val="22"/>
          <w:lang w:val="en-US"/>
        </w:rPr>
        <w:t>study</w:t>
      </w:r>
    </w:p>
    <w:p w14:paraId="391D9607" w14:textId="106E321F" w:rsidR="00F63CF9" w:rsidRPr="00D43409" w:rsidRDefault="00AE7B86"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b/>
          <w:sz w:val="22"/>
          <w:szCs w:val="22"/>
          <w:lang w:val="en-US"/>
        </w:rPr>
        <w:lastRenderedPageBreak/>
        <w:t>Ranitidine</w:t>
      </w:r>
      <w:r w:rsidR="00D219C9" w:rsidRPr="00D43409">
        <w:rPr>
          <w:rFonts w:ascii="Calibri" w:hAnsi="Calibri" w:cs="Calibri"/>
          <w:b/>
          <w:sz w:val="22"/>
          <w:szCs w:val="22"/>
          <w:lang w:val="en-US"/>
        </w:rPr>
        <w:t>/</w:t>
      </w:r>
      <w:r w:rsidR="00F75B74" w:rsidRPr="00D43409">
        <w:rPr>
          <w:rFonts w:ascii="Calibri" w:hAnsi="Calibri" w:cs="Calibri"/>
          <w:b/>
          <w:sz w:val="22"/>
          <w:szCs w:val="22"/>
          <w:lang w:val="en-US"/>
        </w:rPr>
        <w:t>nizatidine</w:t>
      </w:r>
      <w:r w:rsidR="00D219C9" w:rsidRPr="00D43409">
        <w:rPr>
          <w:rFonts w:ascii="Calibri" w:hAnsi="Calibri" w:cs="Calibri"/>
          <w:sz w:val="22"/>
          <w:szCs w:val="22"/>
          <w:lang w:val="en-US"/>
        </w:rPr>
        <w:t xml:space="preserve"> are both H2 receptor antagonist used to suppre</w:t>
      </w:r>
      <w:r w:rsidR="004840B6" w:rsidRPr="00D43409">
        <w:rPr>
          <w:rFonts w:ascii="Calibri" w:hAnsi="Calibri" w:cs="Calibri"/>
          <w:sz w:val="22"/>
          <w:szCs w:val="22"/>
          <w:lang w:val="en-US"/>
        </w:rPr>
        <w:t>s</w:t>
      </w:r>
      <w:r w:rsidR="00D219C9" w:rsidRPr="00D43409">
        <w:rPr>
          <w:rFonts w:ascii="Calibri" w:hAnsi="Calibri" w:cs="Calibri"/>
          <w:sz w:val="22"/>
          <w:szCs w:val="22"/>
          <w:lang w:val="en-US"/>
        </w:rPr>
        <w:t>s gastric acid suppression, that also can promote acetylcholinesterase inhibition w/in the ENS</w:t>
      </w:r>
      <w:r w:rsidR="005A58AA" w:rsidRPr="00D43409">
        <w:rPr>
          <w:rFonts w:ascii="Calibri" w:hAnsi="Calibri" w:cs="Calibri"/>
          <w:sz w:val="22"/>
          <w:szCs w:val="22"/>
          <w:lang w:val="en-US"/>
        </w:rPr>
        <w:t xml:space="preserve"> to stimulate GI motility </w:t>
      </w:r>
    </w:p>
    <w:p w14:paraId="518F0572" w14:textId="02B20492" w:rsidR="00CF0AB8" w:rsidRPr="00D43409" w:rsidRDefault="00D655EE"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Primary action on smooth </w:t>
      </w:r>
      <w:r w:rsidR="00CF0AB8" w:rsidRPr="00D43409">
        <w:rPr>
          <w:rFonts w:ascii="Calibri" w:hAnsi="Calibri" w:cs="Calibri"/>
          <w:sz w:val="22"/>
          <w:szCs w:val="22"/>
          <w:lang w:val="en-US"/>
        </w:rPr>
        <w:t xml:space="preserve">muscle contraction </w:t>
      </w:r>
    </w:p>
    <w:p w14:paraId="0265FE2E" w14:textId="3A1A0018" w:rsidR="00CF0AB8" w:rsidRPr="00D43409" w:rsidRDefault="00CF0AB8"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Prokinetic effects seen with antacid doses </w:t>
      </w:r>
    </w:p>
    <w:p w14:paraId="1F421ABE" w14:textId="53B5662C" w:rsidR="00EF635C" w:rsidRPr="00D43409" w:rsidRDefault="00EF635C" w:rsidP="006F6801">
      <w:pPr>
        <w:pStyle w:val="ListParagraph"/>
        <w:numPr>
          <w:ilvl w:val="0"/>
          <w:numId w:val="5"/>
        </w:numPr>
        <w:spacing w:line="360" w:lineRule="auto"/>
        <w:rPr>
          <w:rFonts w:ascii="Calibri" w:hAnsi="Calibri" w:cs="Calibri"/>
          <w:b/>
          <w:sz w:val="22"/>
          <w:szCs w:val="22"/>
          <w:lang w:val="en-US"/>
        </w:rPr>
      </w:pPr>
      <w:r w:rsidRPr="00D43409">
        <w:rPr>
          <w:rFonts w:ascii="Calibri" w:hAnsi="Calibri" w:cs="Calibri"/>
          <w:b/>
          <w:sz w:val="22"/>
          <w:szCs w:val="22"/>
          <w:lang w:val="en-US"/>
        </w:rPr>
        <w:t xml:space="preserve">Opioid receptor antagonists </w:t>
      </w:r>
    </w:p>
    <w:p w14:paraId="498D68F3" w14:textId="3C316D7E" w:rsidR="00EF635C" w:rsidRPr="00D43409" w:rsidRDefault="00237E8B" w:rsidP="006F6801">
      <w:pPr>
        <w:pStyle w:val="ListParagraph"/>
        <w:numPr>
          <w:ilvl w:val="0"/>
          <w:numId w:val="2"/>
        </w:numPr>
        <w:spacing w:line="360" w:lineRule="auto"/>
        <w:rPr>
          <w:rFonts w:ascii="Calibri" w:eastAsia="Times New Roman" w:hAnsi="Calibri" w:cs="Calibri"/>
          <w:sz w:val="22"/>
          <w:szCs w:val="22"/>
        </w:rPr>
      </w:pPr>
      <w:r w:rsidRPr="00D43409">
        <w:rPr>
          <w:rFonts w:ascii="Calibri" w:hAnsi="Calibri" w:cs="Calibri"/>
          <w:sz w:val="22"/>
          <w:szCs w:val="22"/>
          <w:lang w:val="en-US"/>
        </w:rPr>
        <w:t xml:space="preserve">Opioid receptors are present throughout the GIT; </w:t>
      </w:r>
      <w:r w:rsidR="002B2C4E" w:rsidRPr="00D43409">
        <w:rPr>
          <w:rFonts w:ascii="Calibri" w:eastAsia="Times New Roman" w:hAnsi="Calibri" w:cs="Calibri"/>
          <w:sz w:val="22"/>
          <w:szCs w:val="22"/>
        </w:rPr>
        <w:t>δ -, κ – and μ -receptors have been identified as having effects on human GI function</w:t>
      </w:r>
    </w:p>
    <w:p w14:paraId="6134DCE5" w14:textId="0D06D93F" w:rsidR="001E0C15" w:rsidRPr="00D43409" w:rsidRDefault="001E0C15" w:rsidP="006F6801">
      <w:pPr>
        <w:pStyle w:val="ListParagraph"/>
        <w:numPr>
          <w:ilvl w:val="1"/>
          <w:numId w:val="2"/>
        </w:numPr>
        <w:spacing w:line="360" w:lineRule="auto"/>
        <w:rPr>
          <w:rFonts w:ascii="Calibri" w:eastAsia="Times New Roman" w:hAnsi="Calibri" w:cs="Calibri"/>
          <w:sz w:val="22"/>
          <w:szCs w:val="22"/>
        </w:rPr>
      </w:pPr>
      <w:r w:rsidRPr="00D43409">
        <w:rPr>
          <w:rFonts w:ascii="Calibri" w:eastAsia="Times New Roman" w:hAnsi="Calibri" w:cs="Calibri"/>
          <w:sz w:val="22"/>
          <w:szCs w:val="22"/>
        </w:rPr>
        <w:t xml:space="preserve">μ -receptor are widely distributed in the submucosa as well as ileal mucosa </w:t>
      </w:r>
    </w:p>
    <w:p w14:paraId="37C402DD" w14:textId="3B25EFA0" w:rsidR="00ED03A6" w:rsidRPr="00D43409" w:rsidRDefault="00ED03A6" w:rsidP="006F6801">
      <w:pPr>
        <w:pStyle w:val="ListParagraph"/>
        <w:numPr>
          <w:ilvl w:val="1"/>
          <w:numId w:val="2"/>
        </w:numPr>
        <w:spacing w:line="360" w:lineRule="auto"/>
        <w:rPr>
          <w:rFonts w:ascii="Calibri" w:eastAsia="Times New Roman" w:hAnsi="Calibri" w:cs="Calibri"/>
          <w:sz w:val="22"/>
          <w:szCs w:val="22"/>
        </w:rPr>
      </w:pPr>
      <w:r w:rsidRPr="00D43409">
        <w:rPr>
          <w:rFonts w:ascii="Calibri" w:eastAsia="Times New Roman" w:hAnsi="Calibri" w:cs="Calibri"/>
          <w:sz w:val="22"/>
          <w:szCs w:val="22"/>
        </w:rPr>
        <w:t xml:space="preserve">δ -, κ receptors found in stomach and proximal colon </w:t>
      </w:r>
    </w:p>
    <w:p w14:paraId="43126F7E" w14:textId="6BE763DA" w:rsidR="00A51641" w:rsidRPr="00D43409" w:rsidRDefault="008D3F69"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Opioid analgesics can lead to </w:t>
      </w:r>
      <w:r w:rsidR="008E446F" w:rsidRPr="00D43409">
        <w:rPr>
          <w:rFonts w:ascii="Calibri" w:hAnsi="Calibri" w:cs="Calibri"/>
          <w:sz w:val="22"/>
          <w:szCs w:val="22"/>
          <w:lang w:val="en-US"/>
        </w:rPr>
        <w:t xml:space="preserve">hypomotility results from decreased neurotransmission and inhibition of neuronal firing at both the level of the CNS and of enteric neurons in GIT </w:t>
      </w:r>
    </w:p>
    <w:p w14:paraId="560689DE" w14:textId="7D988144" w:rsidR="00CA5396" w:rsidRPr="00D43409" w:rsidRDefault="00CA5396"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In humans, opioid-induced bowel dysfunction/constipation (OIC) is wel</w:t>
      </w:r>
      <w:r w:rsidR="00024321" w:rsidRPr="00D43409">
        <w:rPr>
          <w:rFonts w:ascii="Calibri" w:hAnsi="Calibri" w:cs="Calibri"/>
          <w:sz w:val="22"/>
          <w:szCs w:val="22"/>
          <w:lang w:val="en-US"/>
        </w:rPr>
        <w:t>l</w:t>
      </w:r>
      <w:r w:rsidRPr="00D43409">
        <w:rPr>
          <w:rFonts w:ascii="Calibri" w:hAnsi="Calibri" w:cs="Calibri"/>
          <w:sz w:val="22"/>
          <w:szCs w:val="22"/>
          <w:lang w:val="en-US"/>
        </w:rPr>
        <w:t xml:space="preserve"> documented </w:t>
      </w:r>
    </w:p>
    <w:p w14:paraId="49A9C3D3" w14:textId="3DD69EFB" w:rsidR="007F2212" w:rsidRPr="00D43409" w:rsidRDefault="00F23500"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Opioids delay GI</w:t>
      </w:r>
      <w:r w:rsidR="007F2212" w:rsidRPr="00D43409">
        <w:rPr>
          <w:rFonts w:ascii="Calibri" w:hAnsi="Calibri" w:cs="Calibri"/>
          <w:sz w:val="22"/>
          <w:szCs w:val="22"/>
          <w:lang w:val="en-US"/>
        </w:rPr>
        <w:t xml:space="preserve"> transmit, stimulates non-propulsive motility, segmentation tone and stimulation of pyloric and ileocecal sphincter </w:t>
      </w:r>
    </w:p>
    <w:p w14:paraId="10CA495A" w14:textId="7161B563" w:rsidR="007F2212" w:rsidRPr="00D43409" w:rsidRDefault="007F2212"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Stimulates absorption of fluids – via  delayed transit increasing time for absorption and stimulating sensory receptors that activate a reflex arc to cause further fluid absorption </w:t>
      </w:r>
    </w:p>
    <w:p w14:paraId="2E895A51" w14:textId="77777777" w:rsidR="00D97AFA" w:rsidRPr="00D43409" w:rsidRDefault="00D97AF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Opioid antagonists have been used to treat OIC</w:t>
      </w:r>
    </w:p>
    <w:p w14:paraId="14DBDE6E" w14:textId="665A8EAB" w:rsidR="00D97AFA" w:rsidRPr="00D43409" w:rsidRDefault="00D97AFA"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Naloxone</w:t>
      </w:r>
    </w:p>
    <w:p w14:paraId="3AE170D6" w14:textId="46D78447" w:rsidR="00D97AFA" w:rsidRPr="00D43409" w:rsidRDefault="00D97AF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Oral administration shown </w:t>
      </w:r>
      <w:r w:rsidR="001928B8">
        <w:rPr>
          <w:rFonts w:ascii="Calibri" w:hAnsi="Calibri" w:cs="Calibri"/>
          <w:sz w:val="22"/>
          <w:szCs w:val="22"/>
          <w:lang w:val="en-US"/>
        </w:rPr>
        <w:t>t</w:t>
      </w:r>
      <w:r w:rsidRPr="00D43409">
        <w:rPr>
          <w:rFonts w:ascii="Calibri" w:hAnsi="Calibri" w:cs="Calibri"/>
          <w:sz w:val="22"/>
          <w:szCs w:val="22"/>
          <w:lang w:val="en-US"/>
        </w:rPr>
        <w:t>o</w:t>
      </w:r>
      <w:r w:rsidR="00EE6402" w:rsidRPr="00D43409">
        <w:rPr>
          <w:rFonts w:ascii="Calibri" w:hAnsi="Calibri" w:cs="Calibri"/>
          <w:sz w:val="22"/>
          <w:szCs w:val="22"/>
          <w:lang w:val="en-US"/>
        </w:rPr>
        <w:t xml:space="preserve"> increase gastric emptying, as it blocks the opioid action a</w:t>
      </w:r>
      <w:r w:rsidR="007E5A3E" w:rsidRPr="00D43409">
        <w:rPr>
          <w:rFonts w:ascii="Calibri" w:hAnsi="Calibri" w:cs="Calibri"/>
          <w:sz w:val="22"/>
          <w:szCs w:val="22"/>
          <w:lang w:val="en-US"/>
        </w:rPr>
        <w:t>t the intestinal receptor level.</w:t>
      </w:r>
      <w:r w:rsidRPr="00D43409">
        <w:rPr>
          <w:rFonts w:ascii="Calibri" w:hAnsi="Calibri" w:cs="Calibri"/>
          <w:sz w:val="22"/>
          <w:szCs w:val="22"/>
          <w:lang w:val="en-US"/>
        </w:rPr>
        <w:t xml:space="preserve"> </w:t>
      </w:r>
    </w:p>
    <w:p w14:paraId="5EFC1C26" w14:textId="5EFF00B2" w:rsidR="007E5A3E" w:rsidRPr="00D43409" w:rsidRDefault="00D97AF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H</w:t>
      </w:r>
      <w:r w:rsidR="007E5A3E" w:rsidRPr="00D43409">
        <w:rPr>
          <w:rFonts w:ascii="Calibri" w:hAnsi="Calibri" w:cs="Calibri"/>
          <w:sz w:val="22"/>
          <w:szCs w:val="22"/>
          <w:lang w:val="en-US"/>
        </w:rPr>
        <w:t>as poor bioavailability and undergo hepatic 1</w:t>
      </w:r>
      <w:r w:rsidR="007E5A3E" w:rsidRPr="00D43409">
        <w:rPr>
          <w:rFonts w:ascii="Calibri" w:hAnsi="Calibri" w:cs="Calibri"/>
          <w:sz w:val="22"/>
          <w:szCs w:val="22"/>
          <w:vertAlign w:val="superscript"/>
          <w:lang w:val="en-US"/>
        </w:rPr>
        <w:t>st</w:t>
      </w:r>
      <w:r w:rsidRPr="00D43409">
        <w:rPr>
          <w:rFonts w:ascii="Calibri" w:hAnsi="Calibri" w:cs="Calibri"/>
          <w:sz w:val="22"/>
          <w:szCs w:val="22"/>
          <w:lang w:val="en-US"/>
        </w:rPr>
        <w:t xml:space="preserve"> pass metabolism</w:t>
      </w:r>
    </w:p>
    <w:p w14:paraId="77CAA811" w14:textId="59C43F30" w:rsidR="00D97AFA" w:rsidRPr="00D43409" w:rsidRDefault="00D97AFA" w:rsidP="006F6801">
      <w:pPr>
        <w:pStyle w:val="ListParagraph"/>
        <w:numPr>
          <w:ilvl w:val="1"/>
          <w:numId w:val="2"/>
        </w:numPr>
        <w:spacing w:line="360" w:lineRule="auto"/>
        <w:rPr>
          <w:rFonts w:ascii="Calibri" w:hAnsi="Calibri" w:cs="Calibri"/>
          <w:sz w:val="22"/>
          <w:szCs w:val="22"/>
          <w:lang w:val="en-US"/>
        </w:rPr>
      </w:pPr>
      <w:r w:rsidRPr="00D43409">
        <w:rPr>
          <w:rFonts w:ascii="Calibri" w:hAnsi="Calibri" w:cs="Calibri"/>
          <w:sz w:val="22"/>
          <w:szCs w:val="22"/>
          <w:lang w:val="en-US"/>
        </w:rPr>
        <w:t>Dose that reverse GI signs oft</w:t>
      </w:r>
      <w:r w:rsidR="006F64DC" w:rsidRPr="00D43409">
        <w:rPr>
          <w:rFonts w:ascii="Calibri" w:hAnsi="Calibri" w:cs="Calibri"/>
          <w:sz w:val="22"/>
          <w:szCs w:val="22"/>
          <w:lang w:val="en-US"/>
        </w:rPr>
        <w:t>en reve</w:t>
      </w:r>
      <w:r w:rsidR="00201766" w:rsidRPr="00D43409">
        <w:rPr>
          <w:rFonts w:ascii="Calibri" w:hAnsi="Calibri" w:cs="Calibri"/>
          <w:sz w:val="22"/>
          <w:szCs w:val="22"/>
          <w:lang w:val="en-US"/>
        </w:rPr>
        <w:t>r</w:t>
      </w:r>
      <w:r w:rsidR="006F64DC" w:rsidRPr="00D43409">
        <w:rPr>
          <w:rFonts w:ascii="Calibri" w:hAnsi="Calibri" w:cs="Calibri"/>
          <w:sz w:val="22"/>
          <w:szCs w:val="22"/>
          <w:lang w:val="en-US"/>
        </w:rPr>
        <w:t xml:space="preserve">se analgesia so not ideal </w:t>
      </w:r>
    </w:p>
    <w:p w14:paraId="380C3B68" w14:textId="4104CF2B" w:rsidR="007E5A3E" w:rsidRPr="00D43409" w:rsidRDefault="00ED7042" w:rsidP="006F6801">
      <w:pPr>
        <w:pStyle w:val="ListParagraph"/>
        <w:numPr>
          <w:ilvl w:val="0"/>
          <w:numId w:val="2"/>
        </w:numPr>
        <w:spacing w:line="360" w:lineRule="auto"/>
        <w:rPr>
          <w:rFonts w:ascii="Calibri" w:hAnsi="Calibri" w:cs="Calibri"/>
          <w:sz w:val="22"/>
          <w:szCs w:val="22"/>
          <w:lang w:val="en-US"/>
        </w:rPr>
      </w:pPr>
      <w:r w:rsidRPr="00D43409">
        <w:rPr>
          <w:rFonts w:ascii="Calibri" w:hAnsi="Calibri" w:cs="Calibri"/>
          <w:sz w:val="22"/>
          <w:szCs w:val="22"/>
          <w:lang w:val="en-US"/>
        </w:rPr>
        <w:t xml:space="preserve">Peripherally restricted mu-opiate receptor antagonists </w:t>
      </w:r>
      <w:r w:rsidR="007E5A3E" w:rsidRPr="00D43409">
        <w:rPr>
          <w:rFonts w:ascii="Calibri" w:hAnsi="Calibri" w:cs="Calibri"/>
          <w:sz w:val="22"/>
          <w:szCs w:val="22"/>
          <w:lang w:val="en-US"/>
        </w:rPr>
        <w:t xml:space="preserve">(e.g. </w:t>
      </w:r>
      <w:proofErr w:type="spellStart"/>
      <w:r w:rsidR="007E5A3E" w:rsidRPr="00D43409">
        <w:rPr>
          <w:rFonts w:ascii="Calibri" w:hAnsi="Calibri" w:cs="Calibri"/>
          <w:sz w:val="22"/>
          <w:szCs w:val="22"/>
          <w:lang w:val="en-US"/>
        </w:rPr>
        <w:t>alvimopan</w:t>
      </w:r>
      <w:proofErr w:type="spellEnd"/>
      <w:r w:rsidR="007E5A3E" w:rsidRPr="00D43409">
        <w:rPr>
          <w:rFonts w:ascii="Calibri" w:hAnsi="Calibri" w:cs="Calibri"/>
          <w:sz w:val="22"/>
          <w:szCs w:val="22"/>
          <w:lang w:val="en-US"/>
        </w:rPr>
        <w:t xml:space="preserve">, methylnaltrexone) have been investigated </w:t>
      </w:r>
      <w:r w:rsidR="009E15FF" w:rsidRPr="00D43409">
        <w:rPr>
          <w:rFonts w:ascii="Calibri" w:hAnsi="Calibri" w:cs="Calibri"/>
          <w:sz w:val="22"/>
          <w:szCs w:val="22"/>
          <w:lang w:val="en-US"/>
        </w:rPr>
        <w:t xml:space="preserve">as they antagonize the inhibitor effects of opioid on gut motility, but doesn’t cross the BBB to antagonize the analgesic effects </w:t>
      </w:r>
    </w:p>
    <w:p w14:paraId="613E8935" w14:textId="09BA3775" w:rsidR="009E750E" w:rsidRPr="00D43409" w:rsidRDefault="009E750E" w:rsidP="006F6801">
      <w:pPr>
        <w:pStyle w:val="ListParagraph"/>
        <w:numPr>
          <w:ilvl w:val="1"/>
          <w:numId w:val="2"/>
        </w:numPr>
        <w:spacing w:line="360" w:lineRule="auto"/>
        <w:rPr>
          <w:rFonts w:ascii="Calibri" w:hAnsi="Calibri" w:cs="Calibri"/>
          <w:sz w:val="22"/>
          <w:szCs w:val="22"/>
          <w:lang w:val="en-US"/>
        </w:rPr>
      </w:pPr>
      <w:proofErr w:type="spellStart"/>
      <w:r w:rsidRPr="00D43409">
        <w:rPr>
          <w:rFonts w:ascii="Calibri" w:hAnsi="Calibri" w:cs="Calibri"/>
          <w:sz w:val="22"/>
          <w:szCs w:val="22"/>
          <w:lang w:val="en-US"/>
        </w:rPr>
        <w:t>Alvimopan</w:t>
      </w:r>
      <w:proofErr w:type="spellEnd"/>
      <w:r w:rsidRPr="00D43409">
        <w:rPr>
          <w:rFonts w:ascii="Calibri" w:hAnsi="Calibri" w:cs="Calibri"/>
          <w:sz w:val="22"/>
          <w:szCs w:val="22"/>
          <w:lang w:val="en-US"/>
        </w:rPr>
        <w:t xml:space="preserve"> is approved for FDA use to treat OIC in humans, but </w:t>
      </w:r>
      <w:r w:rsidR="001B60E9" w:rsidRPr="00D43409">
        <w:rPr>
          <w:rFonts w:ascii="Calibri" w:hAnsi="Calibri" w:cs="Calibri"/>
          <w:sz w:val="22"/>
          <w:szCs w:val="22"/>
          <w:lang w:val="en-US"/>
        </w:rPr>
        <w:t xml:space="preserve">not in veterinary medicine yet as it is incredibly expensive ($1000/treatment cycle in humans) </w:t>
      </w:r>
    </w:p>
    <w:p w14:paraId="6AD5F2A5" w14:textId="77777777" w:rsidR="00F51B1D" w:rsidRPr="00D43409" w:rsidRDefault="00F51B1D" w:rsidP="006F6801">
      <w:pPr>
        <w:spacing w:line="360" w:lineRule="auto"/>
        <w:rPr>
          <w:rFonts w:ascii="Calibri" w:hAnsi="Calibri" w:cs="Calibri"/>
          <w:sz w:val="22"/>
          <w:szCs w:val="22"/>
          <w:lang w:val="en-US"/>
        </w:rPr>
      </w:pPr>
    </w:p>
    <w:p w14:paraId="6FEC0BF4" w14:textId="5E4DC914" w:rsidR="00A070B1" w:rsidRDefault="005D217A" w:rsidP="006F6801">
      <w:pPr>
        <w:spacing w:line="360" w:lineRule="auto"/>
        <w:rPr>
          <w:rFonts w:ascii="Calibri" w:hAnsi="Calibri" w:cs="Calibri"/>
          <w:sz w:val="22"/>
          <w:szCs w:val="22"/>
        </w:rPr>
      </w:pPr>
      <w:r w:rsidRPr="00D43409">
        <w:rPr>
          <w:rFonts w:ascii="Calibri" w:hAnsi="Calibri" w:cs="Calibri"/>
          <w:sz w:val="22"/>
          <w:szCs w:val="22"/>
          <w:u w:val="single"/>
          <w:lang w:val="en-US"/>
        </w:rPr>
        <w:t>References:</w:t>
      </w:r>
      <w:r w:rsidR="00C75E01" w:rsidRPr="00D43409">
        <w:rPr>
          <w:rFonts w:ascii="Calibri" w:hAnsi="Calibri" w:cs="Calibri"/>
          <w:sz w:val="22"/>
          <w:szCs w:val="22"/>
        </w:rPr>
        <w:t xml:space="preserve"> </w:t>
      </w:r>
    </w:p>
    <w:p w14:paraId="4EAAF09C" w14:textId="77777777" w:rsidR="00F34869" w:rsidRPr="00D43409" w:rsidRDefault="00F34869" w:rsidP="00F34869">
      <w:pPr>
        <w:spacing w:line="360" w:lineRule="auto"/>
        <w:rPr>
          <w:rFonts w:ascii="Calibri" w:hAnsi="Calibri" w:cs="Calibri"/>
          <w:color w:val="0000FF"/>
          <w:sz w:val="22"/>
          <w:szCs w:val="22"/>
          <w:u w:val="single"/>
        </w:rPr>
      </w:pPr>
      <w:r w:rsidRPr="00D43409">
        <w:rPr>
          <w:rFonts w:ascii="Calibri" w:hAnsi="Calibri" w:cs="Calibri"/>
          <w:sz w:val="22"/>
          <w:szCs w:val="22"/>
        </w:rPr>
        <w:t xml:space="preserve">Camilleri M. Opioid-induced constipation: challenges and therapeutic opportunities. </w:t>
      </w:r>
      <w:r w:rsidRPr="00D43409">
        <w:rPr>
          <w:rFonts w:ascii="Calibri" w:hAnsi="Calibri" w:cs="Calibri"/>
          <w:i/>
          <w:iCs/>
          <w:sz w:val="22"/>
          <w:szCs w:val="22"/>
        </w:rPr>
        <w:t>Am J Gastroenterol</w:t>
      </w:r>
      <w:r w:rsidRPr="00D43409">
        <w:rPr>
          <w:rFonts w:ascii="Calibri" w:hAnsi="Calibri" w:cs="Calibri"/>
          <w:sz w:val="22"/>
          <w:szCs w:val="22"/>
        </w:rPr>
        <w:t>. 2011;106(5):835-842; quiz 843. doi:</w:t>
      </w:r>
      <w:hyperlink r:id="rId16" w:history="1">
        <w:r w:rsidRPr="00D43409">
          <w:rPr>
            <w:rFonts w:ascii="Calibri" w:hAnsi="Calibri" w:cs="Calibri"/>
            <w:color w:val="0000FF"/>
            <w:sz w:val="22"/>
            <w:szCs w:val="22"/>
            <w:u w:val="single"/>
          </w:rPr>
          <w:t>10.1038/ajg.2011.30</w:t>
        </w:r>
      </w:hyperlink>
    </w:p>
    <w:p w14:paraId="0EDD61BF" w14:textId="77777777" w:rsidR="00F34869" w:rsidRPr="00D43409" w:rsidRDefault="00F34869" w:rsidP="00F34869">
      <w:pPr>
        <w:spacing w:line="360" w:lineRule="auto"/>
        <w:rPr>
          <w:rFonts w:ascii="Calibri" w:hAnsi="Calibri" w:cs="Calibri"/>
          <w:sz w:val="22"/>
          <w:szCs w:val="22"/>
        </w:rPr>
      </w:pPr>
    </w:p>
    <w:p w14:paraId="5DFBA464" w14:textId="77777777" w:rsidR="00F34869" w:rsidRPr="00D43409" w:rsidRDefault="00F34869" w:rsidP="00F34869">
      <w:pPr>
        <w:spacing w:line="360" w:lineRule="auto"/>
        <w:rPr>
          <w:rFonts w:ascii="Calibri" w:eastAsiaTheme="minorEastAsia" w:hAnsi="Calibri" w:cs="Calibri"/>
          <w:color w:val="000000"/>
          <w:sz w:val="22"/>
          <w:szCs w:val="22"/>
          <w:lang w:val="en-US"/>
        </w:rPr>
      </w:pPr>
      <w:r w:rsidRPr="00D43409">
        <w:rPr>
          <w:rFonts w:ascii="Calibri" w:eastAsiaTheme="minorEastAsia" w:hAnsi="Calibri" w:cs="Calibri"/>
          <w:color w:val="000000"/>
          <w:sz w:val="22"/>
          <w:szCs w:val="22"/>
          <w:lang w:val="en-US"/>
        </w:rPr>
        <w:lastRenderedPageBreak/>
        <w:t>D Silverstein, K Hopper. Small animal critical care medicine (2015). Chapter 161: Gastroprotectants: 851-854</w:t>
      </w:r>
    </w:p>
    <w:p w14:paraId="19DE7F86" w14:textId="77777777" w:rsidR="00F34869" w:rsidRPr="00D43409" w:rsidRDefault="00F34869" w:rsidP="00F34869">
      <w:pPr>
        <w:spacing w:line="360" w:lineRule="auto"/>
        <w:rPr>
          <w:rFonts w:ascii="Calibri" w:hAnsi="Calibri" w:cs="Calibri"/>
          <w:sz w:val="22"/>
          <w:szCs w:val="22"/>
        </w:rPr>
      </w:pPr>
    </w:p>
    <w:p w14:paraId="28C95412" w14:textId="2B508A7A" w:rsidR="00F34869" w:rsidRDefault="00F34869" w:rsidP="006F6801">
      <w:pPr>
        <w:spacing w:line="360" w:lineRule="auto"/>
        <w:rPr>
          <w:rFonts w:ascii="Calibri" w:eastAsiaTheme="minorEastAsia" w:hAnsi="Calibri" w:cs="Calibri"/>
          <w:color w:val="000000"/>
          <w:sz w:val="22"/>
          <w:szCs w:val="22"/>
          <w:lang w:val="en-US"/>
        </w:rPr>
      </w:pPr>
      <w:r w:rsidRPr="00D43409">
        <w:rPr>
          <w:rFonts w:ascii="Calibri" w:eastAsiaTheme="minorEastAsia" w:hAnsi="Calibri" w:cs="Calibri"/>
          <w:color w:val="000000"/>
          <w:sz w:val="22"/>
          <w:szCs w:val="22"/>
          <w:lang w:val="en-US"/>
        </w:rPr>
        <w:t>D Silverstein, K Hopper. Small animal critical care medicine (2015). Chapter 162: Antiemetics and Prokinetics. 854-858.</w:t>
      </w:r>
    </w:p>
    <w:p w14:paraId="4BDD303A" w14:textId="77777777" w:rsidR="00F34869" w:rsidRPr="00F34869" w:rsidRDefault="00F34869" w:rsidP="006F6801">
      <w:pPr>
        <w:spacing w:line="360" w:lineRule="auto"/>
        <w:rPr>
          <w:rFonts w:ascii="Calibri" w:eastAsiaTheme="minorEastAsia" w:hAnsi="Calibri" w:cs="Calibri"/>
          <w:color w:val="000000"/>
          <w:sz w:val="22"/>
          <w:szCs w:val="22"/>
          <w:lang w:val="en-US"/>
        </w:rPr>
      </w:pPr>
    </w:p>
    <w:p w14:paraId="731AC3A6" w14:textId="77777777" w:rsidR="00F34869" w:rsidRDefault="00F34869" w:rsidP="00F34869">
      <w:pPr>
        <w:spacing w:line="360" w:lineRule="auto"/>
        <w:rPr>
          <w:rStyle w:val="Hyperlink"/>
          <w:rFonts w:ascii="Calibri" w:hAnsi="Calibri" w:cs="Calibri"/>
          <w:sz w:val="22"/>
          <w:szCs w:val="22"/>
        </w:rPr>
      </w:pPr>
      <w:r w:rsidRPr="00D43409">
        <w:rPr>
          <w:rFonts w:ascii="Calibri" w:hAnsi="Calibri" w:cs="Calibri"/>
          <w:sz w:val="22"/>
          <w:szCs w:val="22"/>
        </w:rPr>
        <w:t xml:space="preserve">Elwood C, </w:t>
      </w:r>
      <w:proofErr w:type="spellStart"/>
      <w:r w:rsidRPr="00D43409">
        <w:rPr>
          <w:rFonts w:ascii="Calibri" w:hAnsi="Calibri" w:cs="Calibri"/>
          <w:sz w:val="22"/>
          <w:szCs w:val="22"/>
        </w:rPr>
        <w:t>Devauchelle</w:t>
      </w:r>
      <w:proofErr w:type="spellEnd"/>
      <w:r w:rsidRPr="00D43409">
        <w:rPr>
          <w:rFonts w:ascii="Calibri" w:hAnsi="Calibri" w:cs="Calibri"/>
          <w:sz w:val="22"/>
          <w:szCs w:val="22"/>
        </w:rPr>
        <w:t xml:space="preserve"> P, Elliott J, et al. Emesis in dogs: a review. </w:t>
      </w:r>
      <w:r w:rsidRPr="00D43409">
        <w:rPr>
          <w:rFonts w:ascii="Calibri" w:hAnsi="Calibri" w:cs="Calibri"/>
          <w:i/>
          <w:iCs/>
          <w:sz w:val="22"/>
          <w:szCs w:val="22"/>
        </w:rPr>
        <w:t>Journal of Small Animal Practice</w:t>
      </w:r>
      <w:r w:rsidRPr="00D43409">
        <w:rPr>
          <w:rFonts w:ascii="Calibri" w:hAnsi="Calibri" w:cs="Calibri"/>
          <w:sz w:val="22"/>
          <w:szCs w:val="22"/>
        </w:rPr>
        <w:t>. 2010;51(1):4-22. doi:</w:t>
      </w:r>
      <w:hyperlink r:id="rId17" w:history="1">
        <w:r w:rsidRPr="00D43409">
          <w:rPr>
            <w:rStyle w:val="Hyperlink"/>
            <w:rFonts w:ascii="Calibri" w:hAnsi="Calibri" w:cs="Calibri"/>
            <w:sz w:val="22"/>
            <w:szCs w:val="22"/>
          </w:rPr>
          <w:t>10.1111/j.1748-5827.2009.00820.x</w:t>
        </w:r>
      </w:hyperlink>
    </w:p>
    <w:p w14:paraId="5B3F428A" w14:textId="77777777" w:rsidR="00F34869" w:rsidRPr="00D43409" w:rsidRDefault="00F34869" w:rsidP="00F34869">
      <w:pPr>
        <w:spacing w:line="360" w:lineRule="auto"/>
        <w:rPr>
          <w:rFonts w:ascii="Calibri" w:hAnsi="Calibri" w:cs="Calibri"/>
          <w:sz w:val="22"/>
          <w:szCs w:val="22"/>
        </w:rPr>
      </w:pPr>
    </w:p>
    <w:p w14:paraId="64D0B628" w14:textId="24E88AE4" w:rsidR="00F34869" w:rsidRPr="00D43409" w:rsidRDefault="00F34869" w:rsidP="00F34869">
      <w:pPr>
        <w:spacing w:line="360" w:lineRule="auto"/>
        <w:rPr>
          <w:rFonts w:ascii="Calibri" w:hAnsi="Calibri" w:cs="Calibri"/>
          <w:sz w:val="22"/>
          <w:szCs w:val="22"/>
        </w:rPr>
      </w:pPr>
      <w:r w:rsidRPr="00D43409">
        <w:rPr>
          <w:rFonts w:ascii="Calibri" w:hAnsi="Calibri" w:cs="Calibri"/>
          <w:sz w:val="22"/>
          <w:szCs w:val="22"/>
        </w:rPr>
        <w:t xml:space="preserve"> Hill TL, Lascelles BDX, </w:t>
      </w:r>
      <w:proofErr w:type="spellStart"/>
      <w:r w:rsidRPr="00D43409">
        <w:rPr>
          <w:rFonts w:ascii="Calibri" w:hAnsi="Calibri" w:cs="Calibri"/>
          <w:sz w:val="22"/>
          <w:szCs w:val="22"/>
        </w:rPr>
        <w:t>Blikslager</w:t>
      </w:r>
      <w:proofErr w:type="spellEnd"/>
      <w:r w:rsidRPr="00D43409">
        <w:rPr>
          <w:rFonts w:ascii="Calibri" w:hAnsi="Calibri" w:cs="Calibri"/>
          <w:sz w:val="22"/>
          <w:szCs w:val="22"/>
        </w:rPr>
        <w:t xml:space="preserve"> AT. Effect of sucralfate on gastric permeability in an ex vivo model of stress-related mucosal disease in dogs. </w:t>
      </w:r>
      <w:r w:rsidRPr="00D43409">
        <w:rPr>
          <w:rFonts w:ascii="Calibri" w:hAnsi="Calibri" w:cs="Calibri"/>
          <w:i/>
          <w:iCs/>
          <w:sz w:val="22"/>
          <w:szCs w:val="22"/>
        </w:rPr>
        <w:t>Journal of Veterinary Internal Medicine</w:t>
      </w:r>
      <w:r w:rsidRPr="00D43409">
        <w:rPr>
          <w:rFonts w:ascii="Calibri" w:hAnsi="Calibri" w:cs="Calibri"/>
          <w:sz w:val="22"/>
          <w:szCs w:val="22"/>
        </w:rPr>
        <w:t>. 2018;32(2):670-678. doi:</w:t>
      </w:r>
      <w:hyperlink r:id="rId18" w:history="1">
        <w:r w:rsidRPr="00D43409">
          <w:rPr>
            <w:rStyle w:val="Hyperlink"/>
            <w:rFonts w:ascii="Calibri" w:hAnsi="Calibri" w:cs="Calibri"/>
            <w:sz w:val="22"/>
            <w:szCs w:val="22"/>
          </w:rPr>
          <w:t>10.1111/jvim.15076</w:t>
        </w:r>
      </w:hyperlink>
    </w:p>
    <w:p w14:paraId="136D925D" w14:textId="77777777" w:rsidR="00CB0C55" w:rsidRDefault="00CB0C55" w:rsidP="006F6801">
      <w:pPr>
        <w:spacing w:line="360" w:lineRule="auto"/>
        <w:rPr>
          <w:rFonts w:ascii="Calibri" w:hAnsi="Calibri" w:cs="Calibri"/>
          <w:sz w:val="22"/>
          <w:szCs w:val="22"/>
        </w:rPr>
      </w:pPr>
    </w:p>
    <w:p w14:paraId="400D5B47" w14:textId="77777777" w:rsidR="00D43409" w:rsidRDefault="00D43409" w:rsidP="006F6801">
      <w:pPr>
        <w:spacing w:line="360" w:lineRule="auto"/>
        <w:rPr>
          <w:rStyle w:val="Hyperlink"/>
          <w:rFonts w:ascii="Calibri" w:hAnsi="Calibri" w:cs="Calibri"/>
          <w:sz w:val="22"/>
          <w:szCs w:val="22"/>
        </w:rPr>
      </w:pPr>
      <w:proofErr w:type="spellStart"/>
      <w:r w:rsidRPr="00D43409">
        <w:rPr>
          <w:rFonts w:ascii="Calibri" w:hAnsi="Calibri" w:cs="Calibri"/>
          <w:sz w:val="22"/>
          <w:szCs w:val="22"/>
        </w:rPr>
        <w:t>Kuppinger</w:t>
      </w:r>
      <w:proofErr w:type="spellEnd"/>
      <w:r w:rsidRPr="00D43409">
        <w:rPr>
          <w:rFonts w:ascii="Calibri" w:hAnsi="Calibri" w:cs="Calibri"/>
          <w:sz w:val="22"/>
          <w:szCs w:val="22"/>
        </w:rPr>
        <w:t xml:space="preserve"> DD, </w:t>
      </w:r>
      <w:proofErr w:type="spellStart"/>
      <w:r w:rsidRPr="00D43409">
        <w:rPr>
          <w:rFonts w:ascii="Calibri" w:hAnsi="Calibri" w:cs="Calibri"/>
          <w:sz w:val="22"/>
          <w:szCs w:val="22"/>
        </w:rPr>
        <w:t>Rittler</w:t>
      </w:r>
      <w:proofErr w:type="spellEnd"/>
      <w:r w:rsidRPr="00D43409">
        <w:rPr>
          <w:rFonts w:ascii="Calibri" w:hAnsi="Calibri" w:cs="Calibri"/>
          <w:sz w:val="22"/>
          <w:szCs w:val="22"/>
        </w:rPr>
        <w:t xml:space="preserve"> P, </w:t>
      </w:r>
      <w:proofErr w:type="spellStart"/>
      <w:r w:rsidRPr="00D43409">
        <w:rPr>
          <w:rFonts w:ascii="Calibri" w:hAnsi="Calibri" w:cs="Calibri"/>
          <w:sz w:val="22"/>
          <w:szCs w:val="22"/>
        </w:rPr>
        <w:t>Hartl</w:t>
      </w:r>
      <w:proofErr w:type="spellEnd"/>
      <w:r w:rsidRPr="00D43409">
        <w:rPr>
          <w:rFonts w:ascii="Calibri" w:hAnsi="Calibri" w:cs="Calibri"/>
          <w:sz w:val="22"/>
          <w:szCs w:val="22"/>
        </w:rPr>
        <w:t xml:space="preserve"> WH, </w:t>
      </w:r>
      <w:proofErr w:type="spellStart"/>
      <w:r w:rsidRPr="00D43409">
        <w:rPr>
          <w:rFonts w:ascii="Calibri" w:hAnsi="Calibri" w:cs="Calibri"/>
          <w:sz w:val="22"/>
          <w:szCs w:val="22"/>
        </w:rPr>
        <w:t>Rüttinger</w:t>
      </w:r>
      <w:proofErr w:type="spellEnd"/>
      <w:r w:rsidRPr="00D43409">
        <w:rPr>
          <w:rFonts w:ascii="Calibri" w:hAnsi="Calibri" w:cs="Calibri"/>
          <w:sz w:val="22"/>
          <w:szCs w:val="22"/>
        </w:rPr>
        <w:t xml:space="preserve"> D. Use of gastric residual volume to guide enteral nutrition in critically ill patients: A brief systematic review of clinical studies. </w:t>
      </w:r>
      <w:r w:rsidRPr="00D43409">
        <w:rPr>
          <w:rFonts w:ascii="Calibri" w:hAnsi="Calibri" w:cs="Calibri"/>
          <w:i/>
          <w:iCs/>
          <w:sz w:val="22"/>
          <w:szCs w:val="22"/>
        </w:rPr>
        <w:t>Nutrition</w:t>
      </w:r>
      <w:r w:rsidRPr="00D43409">
        <w:rPr>
          <w:rFonts w:ascii="Calibri" w:hAnsi="Calibri" w:cs="Calibri"/>
          <w:sz w:val="22"/>
          <w:szCs w:val="22"/>
        </w:rPr>
        <w:t>. 2013;29(9):1075-1079. doi:</w:t>
      </w:r>
      <w:hyperlink r:id="rId19" w:history="1">
        <w:r w:rsidRPr="00D43409">
          <w:rPr>
            <w:rStyle w:val="Hyperlink"/>
            <w:rFonts w:ascii="Calibri" w:hAnsi="Calibri" w:cs="Calibri"/>
            <w:sz w:val="22"/>
            <w:szCs w:val="22"/>
          </w:rPr>
          <w:t>10.1016/j.nut.2013.01.025</w:t>
        </w:r>
      </w:hyperlink>
    </w:p>
    <w:p w14:paraId="0DEADE96" w14:textId="77777777" w:rsidR="00F34869" w:rsidRPr="00D43409" w:rsidRDefault="00F34869" w:rsidP="00F34869">
      <w:pPr>
        <w:spacing w:line="360" w:lineRule="auto"/>
        <w:rPr>
          <w:rFonts w:ascii="Calibri" w:hAnsi="Calibri" w:cs="Calibri"/>
          <w:sz w:val="22"/>
          <w:szCs w:val="22"/>
        </w:rPr>
      </w:pPr>
    </w:p>
    <w:p w14:paraId="44DEB95B" w14:textId="77777777" w:rsidR="00F34869" w:rsidRDefault="00F34869" w:rsidP="00F34869">
      <w:pPr>
        <w:spacing w:line="360" w:lineRule="auto"/>
        <w:rPr>
          <w:rFonts w:ascii="Calibri" w:hAnsi="Calibri" w:cs="Calibri"/>
          <w:color w:val="000000"/>
          <w:sz w:val="22"/>
          <w:szCs w:val="22"/>
        </w:rPr>
      </w:pPr>
      <w:proofErr w:type="spellStart"/>
      <w:r w:rsidRPr="008E0C19">
        <w:rPr>
          <w:rFonts w:ascii="Calibri" w:hAnsi="Calibri" w:cs="Calibri"/>
          <w:color w:val="000000"/>
          <w:sz w:val="22"/>
          <w:szCs w:val="22"/>
        </w:rPr>
        <w:t>Reignier</w:t>
      </w:r>
      <w:proofErr w:type="spellEnd"/>
      <w:r w:rsidRPr="008E0C19">
        <w:rPr>
          <w:rFonts w:ascii="Calibri" w:hAnsi="Calibri" w:cs="Calibri"/>
          <w:color w:val="000000"/>
          <w:sz w:val="22"/>
          <w:szCs w:val="22"/>
        </w:rPr>
        <w:t xml:space="preserve"> J et al. Effect of not monitoring residual gastric volume on risk of ventilator-associated pneumonia in adults receiving mechanical ventilation and early enteral feeding: A randomized controlled trial. JAMA 2013 Jan 16; 309:249.</w:t>
      </w:r>
    </w:p>
    <w:p w14:paraId="299FEC2D" w14:textId="77777777" w:rsidR="00F34869" w:rsidRDefault="00F34869" w:rsidP="00F34869">
      <w:pPr>
        <w:spacing w:line="360" w:lineRule="auto"/>
        <w:rPr>
          <w:rFonts w:ascii="Calibri" w:hAnsi="Calibri" w:cs="Calibri"/>
          <w:color w:val="000000"/>
          <w:sz w:val="22"/>
          <w:szCs w:val="22"/>
        </w:rPr>
      </w:pPr>
    </w:p>
    <w:p w14:paraId="25D2F8CF" w14:textId="77777777" w:rsidR="00F34869" w:rsidRPr="00D43409" w:rsidRDefault="00F34869" w:rsidP="00F34869">
      <w:pPr>
        <w:spacing w:line="360" w:lineRule="auto"/>
        <w:rPr>
          <w:rFonts w:ascii="Calibri" w:hAnsi="Calibri" w:cs="Calibri"/>
          <w:sz w:val="22"/>
          <w:szCs w:val="22"/>
        </w:rPr>
      </w:pPr>
      <w:proofErr w:type="spellStart"/>
      <w:r w:rsidRPr="00D43409">
        <w:rPr>
          <w:rFonts w:ascii="Calibri" w:hAnsi="Calibri" w:cs="Calibri"/>
          <w:sz w:val="22"/>
          <w:szCs w:val="22"/>
        </w:rPr>
        <w:t>Šutalo</w:t>
      </w:r>
      <w:proofErr w:type="spellEnd"/>
      <w:r w:rsidRPr="00D43409">
        <w:rPr>
          <w:rFonts w:ascii="Calibri" w:hAnsi="Calibri" w:cs="Calibri"/>
          <w:sz w:val="22"/>
          <w:szCs w:val="22"/>
        </w:rPr>
        <w:t xml:space="preserve"> S, </w:t>
      </w:r>
      <w:proofErr w:type="spellStart"/>
      <w:r w:rsidRPr="00D43409">
        <w:rPr>
          <w:rFonts w:ascii="Calibri" w:hAnsi="Calibri" w:cs="Calibri"/>
          <w:sz w:val="22"/>
          <w:szCs w:val="22"/>
        </w:rPr>
        <w:t>Ruetten</w:t>
      </w:r>
      <w:proofErr w:type="spellEnd"/>
      <w:r w:rsidRPr="00D43409">
        <w:rPr>
          <w:rFonts w:ascii="Calibri" w:hAnsi="Calibri" w:cs="Calibri"/>
          <w:sz w:val="22"/>
          <w:szCs w:val="22"/>
        </w:rPr>
        <w:t xml:space="preserve"> M, </w:t>
      </w:r>
      <w:proofErr w:type="spellStart"/>
      <w:r w:rsidRPr="00D43409">
        <w:rPr>
          <w:rFonts w:ascii="Calibri" w:hAnsi="Calibri" w:cs="Calibri"/>
          <w:sz w:val="22"/>
          <w:szCs w:val="22"/>
        </w:rPr>
        <w:t>Hartnack</w:t>
      </w:r>
      <w:proofErr w:type="spellEnd"/>
      <w:r w:rsidRPr="00D43409">
        <w:rPr>
          <w:rFonts w:ascii="Calibri" w:hAnsi="Calibri" w:cs="Calibri"/>
          <w:sz w:val="22"/>
          <w:szCs w:val="22"/>
        </w:rPr>
        <w:t xml:space="preserve"> S, </w:t>
      </w:r>
      <w:proofErr w:type="spellStart"/>
      <w:r w:rsidRPr="00D43409">
        <w:rPr>
          <w:rFonts w:ascii="Calibri" w:hAnsi="Calibri" w:cs="Calibri"/>
          <w:sz w:val="22"/>
          <w:szCs w:val="22"/>
        </w:rPr>
        <w:t>Reusch</w:t>
      </w:r>
      <w:proofErr w:type="spellEnd"/>
      <w:r w:rsidRPr="00D43409">
        <w:rPr>
          <w:rFonts w:ascii="Calibri" w:hAnsi="Calibri" w:cs="Calibri"/>
          <w:sz w:val="22"/>
          <w:szCs w:val="22"/>
        </w:rPr>
        <w:t xml:space="preserve"> CE, Kook PH. The Effect of Orally Administered Ranitidine and Once-Daily or Twice-Daily Orally Administered Omeprazole on Intragastric pH in Cats. </w:t>
      </w:r>
      <w:r w:rsidRPr="00D43409">
        <w:rPr>
          <w:rFonts w:ascii="Calibri" w:hAnsi="Calibri" w:cs="Calibri"/>
          <w:i/>
          <w:iCs/>
          <w:sz w:val="22"/>
          <w:szCs w:val="22"/>
        </w:rPr>
        <w:t>Journal of Veterinary Internal Medicine</w:t>
      </w:r>
      <w:r w:rsidRPr="00D43409">
        <w:rPr>
          <w:rFonts w:ascii="Calibri" w:hAnsi="Calibri" w:cs="Calibri"/>
          <w:sz w:val="22"/>
          <w:szCs w:val="22"/>
        </w:rPr>
        <w:t>. 2015;29(3):840-846. doi:</w:t>
      </w:r>
      <w:hyperlink r:id="rId20" w:history="1">
        <w:r w:rsidRPr="00D43409">
          <w:rPr>
            <w:rStyle w:val="Hyperlink"/>
            <w:rFonts w:ascii="Calibri" w:hAnsi="Calibri" w:cs="Calibri"/>
            <w:sz w:val="22"/>
            <w:szCs w:val="22"/>
          </w:rPr>
          <w:t>10.1111/jvim.12580</w:t>
        </w:r>
      </w:hyperlink>
    </w:p>
    <w:p w14:paraId="0669D9BE" w14:textId="77777777" w:rsidR="00F34869" w:rsidRPr="008E0C19" w:rsidRDefault="00F34869" w:rsidP="00F34869">
      <w:pPr>
        <w:spacing w:line="360" w:lineRule="auto"/>
        <w:rPr>
          <w:rFonts w:ascii="Calibri" w:hAnsi="Calibri" w:cs="Calibri"/>
          <w:sz w:val="22"/>
          <w:szCs w:val="22"/>
        </w:rPr>
      </w:pPr>
    </w:p>
    <w:p w14:paraId="50BF1BD4" w14:textId="77777777" w:rsidR="00F34869" w:rsidRPr="00D43409" w:rsidRDefault="00F34869" w:rsidP="00F34869">
      <w:pPr>
        <w:spacing w:line="360" w:lineRule="auto"/>
        <w:rPr>
          <w:rStyle w:val="Hyperlink"/>
          <w:rFonts w:ascii="Calibri" w:hAnsi="Calibri" w:cs="Calibri"/>
          <w:sz w:val="22"/>
          <w:szCs w:val="22"/>
        </w:rPr>
      </w:pPr>
      <w:r w:rsidRPr="00D43409">
        <w:rPr>
          <w:rFonts w:ascii="Calibri" w:hAnsi="Calibri" w:cs="Calibri"/>
          <w:sz w:val="22"/>
          <w:szCs w:val="22"/>
        </w:rPr>
        <w:t xml:space="preserve">Tolbert MK, </w:t>
      </w:r>
      <w:proofErr w:type="spellStart"/>
      <w:r w:rsidRPr="00D43409">
        <w:rPr>
          <w:rFonts w:ascii="Calibri" w:hAnsi="Calibri" w:cs="Calibri"/>
          <w:sz w:val="22"/>
          <w:szCs w:val="22"/>
        </w:rPr>
        <w:t>Odunayo</w:t>
      </w:r>
      <w:proofErr w:type="spellEnd"/>
      <w:r w:rsidRPr="00D43409">
        <w:rPr>
          <w:rFonts w:ascii="Calibri" w:hAnsi="Calibri" w:cs="Calibri"/>
          <w:sz w:val="22"/>
          <w:szCs w:val="22"/>
        </w:rPr>
        <w:t xml:space="preserve"> A, Howell RS, Peters EE, Reed A. Efficacy of Intravenous Administration of Combined Acid Suppressants in Healthy Dogs. </w:t>
      </w:r>
      <w:r w:rsidRPr="00D43409">
        <w:rPr>
          <w:rFonts w:ascii="Calibri" w:hAnsi="Calibri" w:cs="Calibri"/>
          <w:i/>
          <w:iCs/>
          <w:sz w:val="22"/>
          <w:szCs w:val="22"/>
        </w:rPr>
        <w:t>Journal of Veterinary Internal Medicine</w:t>
      </w:r>
      <w:r w:rsidRPr="00D43409">
        <w:rPr>
          <w:rFonts w:ascii="Calibri" w:hAnsi="Calibri" w:cs="Calibri"/>
          <w:sz w:val="22"/>
          <w:szCs w:val="22"/>
        </w:rPr>
        <w:t>. 2015;29(2):556-560. doi:</w:t>
      </w:r>
      <w:hyperlink r:id="rId21" w:history="1">
        <w:r w:rsidRPr="00D43409">
          <w:rPr>
            <w:rStyle w:val="Hyperlink"/>
            <w:rFonts w:ascii="Calibri" w:hAnsi="Calibri" w:cs="Calibri"/>
            <w:sz w:val="22"/>
            <w:szCs w:val="22"/>
          </w:rPr>
          <w:t>10.1111/jvim.12555</w:t>
        </w:r>
      </w:hyperlink>
    </w:p>
    <w:p w14:paraId="3C6A9560" w14:textId="4B5713A0" w:rsidR="00F34869" w:rsidRPr="00D43409" w:rsidRDefault="00F34869" w:rsidP="00F34869">
      <w:pPr>
        <w:spacing w:line="360" w:lineRule="auto"/>
        <w:rPr>
          <w:rFonts w:ascii="Calibri" w:hAnsi="Calibri" w:cs="Calibri"/>
          <w:sz w:val="22"/>
          <w:szCs w:val="22"/>
        </w:rPr>
      </w:pPr>
      <w:r w:rsidRPr="00D43409">
        <w:rPr>
          <w:rFonts w:ascii="Calibri" w:hAnsi="Calibri" w:cs="Calibri"/>
          <w:sz w:val="22"/>
          <w:szCs w:val="22"/>
        </w:rPr>
        <w:t xml:space="preserve"> </w:t>
      </w:r>
    </w:p>
    <w:p w14:paraId="5FF16907" w14:textId="77777777" w:rsidR="00F34869" w:rsidRPr="00D43409" w:rsidRDefault="00F34869" w:rsidP="00F34869">
      <w:pPr>
        <w:spacing w:line="360" w:lineRule="auto"/>
        <w:rPr>
          <w:rFonts w:ascii="Calibri" w:hAnsi="Calibri" w:cs="Calibri"/>
          <w:sz w:val="22"/>
          <w:szCs w:val="22"/>
        </w:rPr>
      </w:pPr>
      <w:r w:rsidRPr="00D43409">
        <w:rPr>
          <w:rFonts w:ascii="Calibri" w:hAnsi="Calibri" w:cs="Calibri"/>
          <w:sz w:val="22"/>
          <w:szCs w:val="22"/>
        </w:rPr>
        <w:t xml:space="preserve">Whitehead K, Cortes Y, </w:t>
      </w:r>
      <w:proofErr w:type="spellStart"/>
      <w:r w:rsidRPr="00D43409">
        <w:rPr>
          <w:rFonts w:ascii="Calibri" w:hAnsi="Calibri" w:cs="Calibri"/>
          <w:sz w:val="22"/>
          <w:szCs w:val="22"/>
        </w:rPr>
        <w:t>Eirmann</w:t>
      </w:r>
      <w:proofErr w:type="spellEnd"/>
      <w:r w:rsidRPr="00D43409">
        <w:rPr>
          <w:rFonts w:ascii="Calibri" w:hAnsi="Calibri" w:cs="Calibri"/>
          <w:sz w:val="22"/>
          <w:szCs w:val="22"/>
        </w:rPr>
        <w:t xml:space="preserve"> L. Gastrointestinal dysmotility disorders in critically ill dogs and cats. </w:t>
      </w:r>
      <w:r w:rsidRPr="00D43409">
        <w:rPr>
          <w:rFonts w:ascii="Calibri" w:hAnsi="Calibri" w:cs="Calibri"/>
          <w:i/>
          <w:iCs/>
          <w:sz w:val="22"/>
          <w:szCs w:val="22"/>
        </w:rPr>
        <w:t>Journal of Veterinary Emergency and Critical Care</w:t>
      </w:r>
      <w:r w:rsidRPr="00D43409">
        <w:rPr>
          <w:rFonts w:ascii="Calibri" w:hAnsi="Calibri" w:cs="Calibri"/>
          <w:sz w:val="22"/>
          <w:szCs w:val="22"/>
        </w:rPr>
        <w:t>. 2016;26(2):234-253. doi:</w:t>
      </w:r>
      <w:hyperlink r:id="rId22" w:history="1">
        <w:r w:rsidRPr="00D43409">
          <w:rPr>
            <w:rStyle w:val="Hyperlink"/>
            <w:rFonts w:ascii="Calibri" w:hAnsi="Calibri" w:cs="Calibri"/>
            <w:sz w:val="22"/>
            <w:szCs w:val="22"/>
          </w:rPr>
          <w:t>10.1111/vec.12449</w:t>
        </w:r>
      </w:hyperlink>
    </w:p>
    <w:p w14:paraId="45572A85" w14:textId="77777777" w:rsidR="00F34869" w:rsidRPr="00D43409" w:rsidRDefault="00F34869" w:rsidP="006F6801">
      <w:pPr>
        <w:spacing w:line="360" w:lineRule="auto"/>
        <w:rPr>
          <w:rFonts w:ascii="Calibri" w:hAnsi="Calibri" w:cs="Calibri"/>
          <w:sz w:val="22"/>
          <w:szCs w:val="22"/>
        </w:rPr>
      </w:pPr>
    </w:p>
    <w:p w14:paraId="0913DEAD" w14:textId="77777777" w:rsidR="00D43409" w:rsidRPr="00D43409" w:rsidRDefault="00D43409" w:rsidP="006F6801">
      <w:pPr>
        <w:spacing w:line="360" w:lineRule="auto"/>
        <w:rPr>
          <w:rFonts w:ascii="Calibri" w:hAnsi="Calibri" w:cs="Calibri"/>
          <w:sz w:val="22"/>
          <w:szCs w:val="22"/>
          <w:lang w:val="en-US"/>
        </w:rPr>
      </w:pPr>
    </w:p>
    <w:sectPr w:rsidR="00D43409" w:rsidRPr="00D43409" w:rsidSect="00716A1C">
      <w:pgSz w:w="12240" w:h="15840" w:code="1"/>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37F37"/>
    <w:multiLevelType w:val="hybridMultilevel"/>
    <w:tmpl w:val="24401662"/>
    <w:lvl w:ilvl="0" w:tplc="5AD86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626BA"/>
    <w:multiLevelType w:val="hybridMultilevel"/>
    <w:tmpl w:val="3A3213D0"/>
    <w:lvl w:ilvl="0" w:tplc="059476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4E0E24"/>
    <w:multiLevelType w:val="hybridMultilevel"/>
    <w:tmpl w:val="18969F16"/>
    <w:lvl w:ilvl="0" w:tplc="43544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E52241"/>
    <w:multiLevelType w:val="hybridMultilevel"/>
    <w:tmpl w:val="B38CBA20"/>
    <w:lvl w:ilvl="0" w:tplc="863659B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9B181B"/>
    <w:multiLevelType w:val="hybridMultilevel"/>
    <w:tmpl w:val="B99AB850"/>
    <w:lvl w:ilvl="0" w:tplc="7778AFEE">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E0C90"/>
    <w:multiLevelType w:val="hybridMultilevel"/>
    <w:tmpl w:val="1D9E9B1A"/>
    <w:lvl w:ilvl="0" w:tplc="09125DE2">
      <w:start w:val="3"/>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EA"/>
    <w:rsid w:val="00001501"/>
    <w:rsid w:val="00002451"/>
    <w:rsid w:val="00002C4D"/>
    <w:rsid w:val="0000429D"/>
    <w:rsid w:val="00005065"/>
    <w:rsid w:val="00007CFA"/>
    <w:rsid w:val="000161D9"/>
    <w:rsid w:val="00016D15"/>
    <w:rsid w:val="00016F61"/>
    <w:rsid w:val="00021F01"/>
    <w:rsid w:val="00024321"/>
    <w:rsid w:val="00026E23"/>
    <w:rsid w:val="000405CF"/>
    <w:rsid w:val="00042961"/>
    <w:rsid w:val="0005213D"/>
    <w:rsid w:val="00052F3D"/>
    <w:rsid w:val="0005411C"/>
    <w:rsid w:val="00063029"/>
    <w:rsid w:val="00072F82"/>
    <w:rsid w:val="00077EDB"/>
    <w:rsid w:val="0008271F"/>
    <w:rsid w:val="00086DF8"/>
    <w:rsid w:val="00091491"/>
    <w:rsid w:val="00093F35"/>
    <w:rsid w:val="00094AD8"/>
    <w:rsid w:val="0009701B"/>
    <w:rsid w:val="00097273"/>
    <w:rsid w:val="000974F3"/>
    <w:rsid w:val="000A0364"/>
    <w:rsid w:val="000A1E4D"/>
    <w:rsid w:val="000B1F92"/>
    <w:rsid w:val="000C165D"/>
    <w:rsid w:val="000D2BB6"/>
    <w:rsid w:val="000E2D52"/>
    <w:rsid w:val="000E42E5"/>
    <w:rsid w:val="000E52F1"/>
    <w:rsid w:val="000E5EE0"/>
    <w:rsid w:val="000E6688"/>
    <w:rsid w:val="000F276E"/>
    <w:rsid w:val="000F3FB8"/>
    <w:rsid w:val="000F70C1"/>
    <w:rsid w:val="0010559E"/>
    <w:rsid w:val="00117602"/>
    <w:rsid w:val="00120865"/>
    <w:rsid w:val="00123705"/>
    <w:rsid w:val="00125AC1"/>
    <w:rsid w:val="00130597"/>
    <w:rsid w:val="00140C91"/>
    <w:rsid w:val="00141781"/>
    <w:rsid w:val="00146FEF"/>
    <w:rsid w:val="001527E0"/>
    <w:rsid w:val="001541FF"/>
    <w:rsid w:val="00167169"/>
    <w:rsid w:val="00171378"/>
    <w:rsid w:val="00172CC3"/>
    <w:rsid w:val="00174353"/>
    <w:rsid w:val="0017715E"/>
    <w:rsid w:val="0018732B"/>
    <w:rsid w:val="001928B8"/>
    <w:rsid w:val="001A0195"/>
    <w:rsid w:val="001A051A"/>
    <w:rsid w:val="001A33FD"/>
    <w:rsid w:val="001A6C85"/>
    <w:rsid w:val="001B1EE6"/>
    <w:rsid w:val="001B60E9"/>
    <w:rsid w:val="001B7A0E"/>
    <w:rsid w:val="001C61A9"/>
    <w:rsid w:val="001D1DAD"/>
    <w:rsid w:val="001D7DB7"/>
    <w:rsid w:val="001E0C15"/>
    <w:rsid w:val="001F1624"/>
    <w:rsid w:val="00201766"/>
    <w:rsid w:val="00213C19"/>
    <w:rsid w:val="00215251"/>
    <w:rsid w:val="0021621B"/>
    <w:rsid w:val="002170CA"/>
    <w:rsid w:val="00237409"/>
    <w:rsid w:val="00237E8B"/>
    <w:rsid w:val="00241EFF"/>
    <w:rsid w:val="00242F04"/>
    <w:rsid w:val="00245113"/>
    <w:rsid w:val="00250B43"/>
    <w:rsid w:val="00260BC5"/>
    <w:rsid w:val="0028176D"/>
    <w:rsid w:val="00287C68"/>
    <w:rsid w:val="002B0838"/>
    <w:rsid w:val="002B2C4E"/>
    <w:rsid w:val="002D36E8"/>
    <w:rsid w:val="002D480C"/>
    <w:rsid w:val="002E5765"/>
    <w:rsid w:val="002E6FC6"/>
    <w:rsid w:val="002F1875"/>
    <w:rsid w:val="002F703B"/>
    <w:rsid w:val="00300666"/>
    <w:rsid w:val="00301A28"/>
    <w:rsid w:val="00307737"/>
    <w:rsid w:val="003159D9"/>
    <w:rsid w:val="00316225"/>
    <w:rsid w:val="00316DB5"/>
    <w:rsid w:val="0032364D"/>
    <w:rsid w:val="003266E9"/>
    <w:rsid w:val="003306E6"/>
    <w:rsid w:val="00332A93"/>
    <w:rsid w:val="00336495"/>
    <w:rsid w:val="00350E9D"/>
    <w:rsid w:val="0037123A"/>
    <w:rsid w:val="00371D6C"/>
    <w:rsid w:val="003922D9"/>
    <w:rsid w:val="00392D01"/>
    <w:rsid w:val="00392E36"/>
    <w:rsid w:val="003A60B1"/>
    <w:rsid w:val="003B02B9"/>
    <w:rsid w:val="003B1774"/>
    <w:rsid w:val="003B19C1"/>
    <w:rsid w:val="003B6BE1"/>
    <w:rsid w:val="003B79F7"/>
    <w:rsid w:val="003C175D"/>
    <w:rsid w:val="003C77E4"/>
    <w:rsid w:val="003D368A"/>
    <w:rsid w:val="003E23B9"/>
    <w:rsid w:val="003E383D"/>
    <w:rsid w:val="003E5BBB"/>
    <w:rsid w:val="003E6556"/>
    <w:rsid w:val="003F3D32"/>
    <w:rsid w:val="003F65B8"/>
    <w:rsid w:val="0040501A"/>
    <w:rsid w:val="00412F4C"/>
    <w:rsid w:val="00413917"/>
    <w:rsid w:val="004225D8"/>
    <w:rsid w:val="00425137"/>
    <w:rsid w:val="0043462E"/>
    <w:rsid w:val="00434740"/>
    <w:rsid w:val="00441510"/>
    <w:rsid w:val="00442BF2"/>
    <w:rsid w:val="004532C7"/>
    <w:rsid w:val="00457327"/>
    <w:rsid w:val="00465681"/>
    <w:rsid w:val="00481C49"/>
    <w:rsid w:val="004840B6"/>
    <w:rsid w:val="004959F2"/>
    <w:rsid w:val="004B3671"/>
    <w:rsid w:val="004B43D1"/>
    <w:rsid w:val="004C59D7"/>
    <w:rsid w:val="004D22E0"/>
    <w:rsid w:val="004D651A"/>
    <w:rsid w:val="004D698E"/>
    <w:rsid w:val="004F1F31"/>
    <w:rsid w:val="004F4624"/>
    <w:rsid w:val="004F5B9A"/>
    <w:rsid w:val="004F6DC0"/>
    <w:rsid w:val="005031A3"/>
    <w:rsid w:val="00505BC4"/>
    <w:rsid w:val="00507FD1"/>
    <w:rsid w:val="005138C4"/>
    <w:rsid w:val="00516ED1"/>
    <w:rsid w:val="005171CD"/>
    <w:rsid w:val="00530036"/>
    <w:rsid w:val="0054205F"/>
    <w:rsid w:val="00547E96"/>
    <w:rsid w:val="0055234F"/>
    <w:rsid w:val="00554E54"/>
    <w:rsid w:val="0055527F"/>
    <w:rsid w:val="00560C1C"/>
    <w:rsid w:val="00562CF7"/>
    <w:rsid w:val="00566A41"/>
    <w:rsid w:val="0057168D"/>
    <w:rsid w:val="005834A0"/>
    <w:rsid w:val="005838BA"/>
    <w:rsid w:val="00590288"/>
    <w:rsid w:val="005932ED"/>
    <w:rsid w:val="005A2149"/>
    <w:rsid w:val="005A58AA"/>
    <w:rsid w:val="005D217A"/>
    <w:rsid w:val="005D3B0E"/>
    <w:rsid w:val="005D4CE7"/>
    <w:rsid w:val="005E142B"/>
    <w:rsid w:val="005E2E6B"/>
    <w:rsid w:val="005E66D9"/>
    <w:rsid w:val="005F2398"/>
    <w:rsid w:val="005F2EA8"/>
    <w:rsid w:val="005F463C"/>
    <w:rsid w:val="005F51C8"/>
    <w:rsid w:val="005F6F87"/>
    <w:rsid w:val="00603927"/>
    <w:rsid w:val="0060648B"/>
    <w:rsid w:val="00616C3F"/>
    <w:rsid w:val="00624716"/>
    <w:rsid w:val="00624A6A"/>
    <w:rsid w:val="00625F13"/>
    <w:rsid w:val="00627175"/>
    <w:rsid w:val="00631CC0"/>
    <w:rsid w:val="00634E7B"/>
    <w:rsid w:val="00636F3A"/>
    <w:rsid w:val="0063710D"/>
    <w:rsid w:val="0064330F"/>
    <w:rsid w:val="00657970"/>
    <w:rsid w:val="00662E54"/>
    <w:rsid w:val="00664864"/>
    <w:rsid w:val="006653B6"/>
    <w:rsid w:val="00670853"/>
    <w:rsid w:val="006748A0"/>
    <w:rsid w:val="006908F3"/>
    <w:rsid w:val="00695EC9"/>
    <w:rsid w:val="00695FEF"/>
    <w:rsid w:val="00696F71"/>
    <w:rsid w:val="006A29DE"/>
    <w:rsid w:val="006A501D"/>
    <w:rsid w:val="006B03A2"/>
    <w:rsid w:val="006C435D"/>
    <w:rsid w:val="006D4674"/>
    <w:rsid w:val="006D526A"/>
    <w:rsid w:val="006D6309"/>
    <w:rsid w:val="006D68D0"/>
    <w:rsid w:val="006E2634"/>
    <w:rsid w:val="006F64DC"/>
    <w:rsid w:val="006F6801"/>
    <w:rsid w:val="007020E2"/>
    <w:rsid w:val="00716A1C"/>
    <w:rsid w:val="00734BC3"/>
    <w:rsid w:val="00743339"/>
    <w:rsid w:val="00744549"/>
    <w:rsid w:val="00753F46"/>
    <w:rsid w:val="0075623C"/>
    <w:rsid w:val="007564E7"/>
    <w:rsid w:val="0076321B"/>
    <w:rsid w:val="00764BBB"/>
    <w:rsid w:val="00766680"/>
    <w:rsid w:val="007B206C"/>
    <w:rsid w:val="007B415F"/>
    <w:rsid w:val="007B5032"/>
    <w:rsid w:val="007C337F"/>
    <w:rsid w:val="007C3CBB"/>
    <w:rsid w:val="007C3DBA"/>
    <w:rsid w:val="007D0E42"/>
    <w:rsid w:val="007D3CCA"/>
    <w:rsid w:val="007E2D5F"/>
    <w:rsid w:val="007E5929"/>
    <w:rsid w:val="007E5A3E"/>
    <w:rsid w:val="007F13B9"/>
    <w:rsid w:val="007F2212"/>
    <w:rsid w:val="007F7CAD"/>
    <w:rsid w:val="00801141"/>
    <w:rsid w:val="008027D2"/>
    <w:rsid w:val="00812AC0"/>
    <w:rsid w:val="008159E5"/>
    <w:rsid w:val="00816B43"/>
    <w:rsid w:val="00820064"/>
    <w:rsid w:val="00832D96"/>
    <w:rsid w:val="00834157"/>
    <w:rsid w:val="008345A7"/>
    <w:rsid w:val="00840BC4"/>
    <w:rsid w:val="0085310C"/>
    <w:rsid w:val="0085485B"/>
    <w:rsid w:val="00854CDE"/>
    <w:rsid w:val="00863CE3"/>
    <w:rsid w:val="00867D9D"/>
    <w:rsid w:val="00873086"/>
    <w:rsid w:val="008752AB"/>
    <w:rsid w:val="00880713"/>
    <w:rsid w:val="00882DED"/>
    <w:rsid w:val="00883341"/>
    <w:rsid w:val="008C10F3"/>
    <w:rsid w:val="008C3744"/>
    <w:rsid w:val="008C39F1"/>
    <w:rsid w:val="008C73B6"/>
    <w:rsid w:val="008D1FCD"/>
    <w:rsid w:val="008D3356"/>
    <w:rsid w:val="008D3F69"/>
    <w:rsid w:val="008D69DF"/>
    <w:rsid w:val="008E02DB"/>
    <w:rsid w:val="008E0C19"/>
    <w:rsid w:val="008E2BDF"/>
    <w:rsid w:val="008E446F"/>
    <w:rsid w:val="008E7BA5"/>
    <w:rsid w:val="008E7BF8"/>
    <w:rsid w:val="008F1707"/>
    <w:rsid w:val="008F392A"/>
    <w:rsid w:val="008F661F"/>
    <w:rsid w:val="00902B3C"/>
    <w:rsid w:val="00903A9C"/>
    <w:rsid w:val="00913600"/>
    <w:rsid w:val="009200B8"/>
    <w:rsid w:val="00920AC1"/>
    <w:rsid w:val="00921550"/>
    <w:rsid w:val="00926C02"/>
    <w:rsid w:val="00927838"/>
    <w:rsid w:val="00934E0C"/>
    <w:rsid w:val="009356FD"/>
    <w:rsid w:val="00944AE6"/>
    <w:rsid w:val="009451DF"/>
    <w:rsid w:val="009455A7"/>
    <w:rsid w:val="00961C3A"/>
    <w:rsid w:val="00980A71"/>
    <w:rsid w:val="00981ADB"/>
    <w:rsid w:val="009846E5"/>
    <w:rsid w:val="00986531"/>
    <w:rsid w:val="00991D89"/>
    <w:rsid w:val="009B1D72"/>
    <w:rsid w:val="009E15FF"/>
    <w:rsid w:val="009E750E"/>
    <w:rsid w:val="009F0007"/>
    <w:rsid w:val="009F0296"/>
    <w:rsid w:val="009F79FF"/>
    <w:rsid w:val="00A070B1"/>
    <w:rsid w:val="00A107B8"/>
    <w:rsid w:val="00A12210"/>
    <w:rsid w:val="00A1334D"/>
    <w:rsid w:val="00A339BD"/>
    <w:rsid w:val="00A51641"/>
    <w:rsid w:val="00A56F22"/>
    <w:rsid w:val="00A75F70"/>
    <w:rsid w:val="00A8496A"/>
    <w:rsid w:val="00A93E5D"/>
    <w:rsid w:val="00AA2E0B"/>
    <w:rsid w:val="00AB0632"/>
    <w:rsid w:val="00AB1F31"/>
    <w:rsid w:val="00AB343C"/>
    <w:rsid w:val="00AC1348"/>
    <w:rsid w:val="00AC140A"/>
    <w:rsid w:val="00AC4BC5"/>
    <w:rsid w:val="00AC4CE8"/>
    <w:rsid w:val="00AC53B9"/>
    <w:rsid w:val="00AE2B39"/>
    <w:rsid w:val="00AE42A4"/>
    <w:rsid w:val="00AE5667"/>
    <w:rsid w:val="00AE6855"/>
    <w:rsid w:val="00AE6D8A"/>
    <w:rsid w:val="00AE7B86"/>
    <w:rsid w:val="00AF18BA"/>
    <w:rsid w:val="00AF3F0A"/>
    <w:rsid w:val="00AF424B"/>
    <w:rsid w:val="00AF47FE"/>
    <w:rsid w:val="00AF56CD"/>
    <w:rsid w:val="00B00B7D"/>
    <w:rsid w:val="00B13FF8"/>
    <w:rsid w:val="00B42530"/>
    <w:rsid w:val="00B46628"/>
    <w:rsid w:val="00B5287C"/>
    <w:rsid w:val="00B52B1F"/>
    <w:rsid w:val="00B611CB"/>
    <w:rsid w:val="00B6295A"/>
    <w:rsid w:val="00B66C15"/>
    <w:rsid w:val="00B8092A"/>
    <w:rsid w:val="00B86F34"/>
    <w:rsid w:val="00B872DB"/>
    <w:rsid w:val="00B93CEA"/>
    <w:rsid w:val="00B963D5"/>
    <w:rsid w:val="00B97350"/>
    <w:rsid w:val="00BA21E0"/>
    <w:rsid w:val="00BA37D1"/>
    <w:rsid w:val="00BA7752"/>
    <w:rsid w:val="00BB02DC"/>
    <w:rsid w:val="00BB4B33"/>
    <w:rsid w:val="00BB78BA"/>
    <w:rsid w:val="00BB7C27"/>
    <w:rsid w:val="00BC25CB"/>
    <w:rsid w:val="00BC5221"/>
    <w:rsid w:val="00BD4C4B"/>
    <w:rsid w:val="00BD6050"/>
    <w:rsid w:val="00BD73A3"/>
    <w:rsid w:val="00BD7D89"/>
    <w:rsid w:val="00BE4A1E"/>
    <w:rsid w:val="00BE5429"/>
    <w:rsid w:val="00BF4B87"/>
    <w:rsid w:val="00BF7E8A"/>
    <w:rsid w:val="00C032FD"/>
    <w:rsid w:val="00C03F71"/>
    <w:rsid w:val="00C101D3"/>
    <w:rsid w:val="00C11C4D"/>
    <w:rsid w:val="00C2128D"/>
    <w:rsid w:val="00C325FE"/>
    <w:rsid w:val="00C41B5C"/>
    <w:rsid w:val="00C456E0"/>
    <w:rsid w:val="00C47691"/>
    <w:rsid w:val="00C54AAA"/>
    <w:rsid w:val="00C558BE"/>
    <w:rsid w:val="00C7028C"/>
    <w:rsid w:val="00C71624"/>
    <w:rsid w:val="00C71AEB"/>
    <w:rsid w:val="00C73521"/>
    <w:rsid w:val="00C75E01"/>
    <w:rsid w:val="00C80E9A"/>
    <w:rsid w:val="00C86A22"/>
    <w:rsid w:val="00CA201D"/>
    <w:rsid w:val="00CA5396"/>
    <w:rsid w:val="00CB0C55"/>
    <w:rsid w:val="00CB2D7E"/>
    <w:rsid w:val="00CB54C4"/>
    <w:rsid w:val="00CB6AB1"/>
    <w:rsid w:val="00CB7D90"/>
    <w:rsid w:val="00CC0A80"/>
    <w:rsid w:val="00CD0AAC"/>
    <w:rsid w:val="00CD55DF"/>
    <w:rsid w:val="00CE03D6"/>
    <w:rsid w:val="00CE4C1D"/>
    <w:rsid w:val="00CE595F"/>
    <w:rsid w:val="00CF0AB8"/>
    <w:rsid w:val="00CF2E30"/>
    <w:rsid w:val="00CF351F"/>
    <w:rsid w:val="00D0193B"/>
    <w:rsid w:val="00D01A49"/>
    <w:rsid w:val="00D06203"/>
    <w:rsid w:val="00D14CC2"/>
    <w:rsid w:val="00D16A9D"/>
    <w:rsid w:val="00D219C9"/>
    <w:rsid w:val="00D26A69"/>
    <w:rsid w:val="00D33EF6"/>
    <w:rsid w:val="00D36281"/>
    <w:rsid w:val="00D43409"/>
    <w:rsid w:val="00D4526A"/>
    <w:rsid w:val="00D52433"/>
    <w:rsid w:val="00D54FDD"/>
    <w:rsid w:val="00D550ED"/>
    <w:rsid w:val="00D655EE"/>
    <w:rsid w:val="00D65BAC"/>
    <w:rsid w:val="00D707F1"/>
    <w:rsid w:val="00D814A3"/>
    <w:rsid w:val="00D81578"/>
    <w:rsid w:val="00D96590"/>
    <w:rsid w:val="00D97AFA"/>
    <w:rsid w:val="00DA5450"/>
    <w:rsid w:val="00DB2B22"/>
    <w:rsid w:val="00DB427C"/>
    <w:rsid w:val="00DB7018"/>
    <w:rsid w:val="00DC2F8F"/>
    <w:rsid w:val="00DC7BDF"/>
    <w:rsid w:val="00DD1B46"/>
    <w:rsid w:val="00DD2205"/>
    <w:rsid w:val="00DD66DC"/>
    <w:rsid w:val="00DD7447"/>
    <w:rsid w:val="00DE23DD"/>
    <w:rsid w:val="00DE7EEE"/>
    <w:rsid w:val="00DF092D"/>
    <w:rsid w:val="00DF669C"/>
    <w:rsid w:val="00E05DF5"/>
    <w:rsid w:val="00E07775"/>
    <w:rsid w:val="00E10D68"/>
    <w:rsid w:val="00E11E00"/>
    <w:rsid w:val="00E21F12"/>
    <w:rsid w:val="00E22247"/>
    <w:rsid w:val="00E26E3B"/>
    <w:rsid w:val="00E37D5B"/>
    <w:rsid w:val="00E41BCA"/>
    <w:rsid w:val="00E46A79"/>
    <w:rsid w:val="00E54E4F"/>
    <w:rsid w:val="00E65162"/>
    <w:rsid w:val="00E74567"/>
    <w:rsid w:val="00E8078F"/>
    <w:rsid w:val="00E87A58"/>
    <w:rsid w:val="00E9007E"/>
    <w:rsid w:val="00EA23D0"/>
    <w:rsid w:val="00EA72EB"/>
    <w:rsid w:val="00EB18C2"/>
    <w:rsid w:val="00EB7CAE"/>
    <w:rsid w:val="00EC0BC4"/>
    <w:rsid w:val="00EC3FB6"/>
    <w:rsid w:val="00EC720B"/>
    <w:rsid w:val="00ED03A6"/>
    <w:rsid w:val="00ED11DF"/>
    <w:rsid w:val="00ED4A45"/>
    <w:rsid w:val="00ED7042"/>
    <w:rsid w:val="00EE2211"/>
    <w:rsid w:val="00EE6402"/>
    <w:rsid w:val="00EF1026"/>
    <w:rsid w:val="00EF1EAF"/>
    <w:rsid w:val="00EF635C"/>
    <w:rsid w:val="00F031F7"/>
    <w:rsid w:val="00F14E0A"/>
    <w:rsid w:val="00F23500"/>
    <w:rsid w:val="00F24A23"/>
    <w:rsid w:val="00F2692C"/>
    <w:rsid w:val="00F34869"/>
    <w:rsid w:val="00F364F2"/>
    <w:rsid w:val="00F45757"/>
    <w:rsid w:val="00F51B1D"/>
    <w:rsid w:val="00F51D72"/>
    <w:rsid w:val="00F5327A"/>
    <w:rsid w:val="00F561C9"/>
    <w:rsid w:val="00F60631"/>
    <w:rsid w:val="00F6099E"/>
    <w:rsid w:val="00F63CF9"/>
    <w:rsid w:val="00F73B7B"/>
    <w:rsid w:val="00F75B74"/>
    <w:rsid w:val="00F9327C"/>
    <w:rsid w:val="00FA372F"/>
    <w:rsid w:val="00FB3C6F"/>
    <w:rsid w:val="00FC104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71A2"/>
  <w15:chartTrackingRefBased/>
  <w15:docId w15:val="{E3BF2A1E-CF1E-A04A-958A-EF9086F7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AE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B1D"/>
    <w:rPr>
      <w:color w:val="0563C1" w:themeColor="hyperlink"/>
      <w:u w:val="single"/>
    </w:rPr>
  </w:style>
  <w:style w:type="character" w:styleId="UnresolvedMention">
    <w:name w:val="Unresolved Mention"/>
    <w:basedOn w:val="DefaultParagraphFont"/>
    <w:uiPriority w:val="99"/>
    <w:semiHidden/>
    <w:unhideWhenUsed/>
    <w:rsid w:val="00F51B1D"/>
    <w:rPr>
      <w:color w:val="605E5C"/>
      <w:shd w:val="clear" w:color="auto" w:fill="E1DFDD"/>
    </w:rPr>
  </w:style>
  <w:style w:type="paragraph" w:styleId="ListParagraph">
    <w:name w:val="List Paragraph"/>
    <w:basedOn w:val="Normal"/>
    <w:uiPriority w:val="34"/>
    <w:qFormat/>
    <w:rsid w:val="00EC720B"/>
    <w:pPr>
      <w:ind w:left="720"/>
      <w:contextualSpacing/>
    </w:pPr>
    <w:rPr>
      <w:rFonts w:asciiTheme="minorHAnsi" w:eastAsiaTheme="minorEastAsia" w:hAnsiTheme="minorHAnsi" w:cstheme="minorBidi"/>
    </w:rPr>
  </w:style>
  <w:style w:type="table" w:styleId="TableGrid">
    <w:name w:val="Table Grid"/>
    <w:basedOn w:val="TableNormal"/>
    <w:uiPriority w:val="39"/>
    <w:rsid w:val="00C32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37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6993">
      <w:bodyDiv w:val="1"/>
      <w:marLeft w:val="0"/>
      <w:marRight w:val="0"/>
      <w:marTop w:val="0"/>
      <w:marBottom w:val="0"/>
      <w:divBdr>
        <w:top w:val="none" w:sz="0" w:space="0" w:color="auto"/>
        <w:left w:val="none" w:sz="0" w:space="0" w:color="auto"/>
        <w:bottom w:val="none" w:sz="0" w:space="0" w:color="auto"/>
        <w:right w:val="none" w:sz="0" w:space="0" w:color="auto"/>
      </w:divBdr>
      <w:divsChild>
        <w:div w:id="1314021466">
          <w:marLeft w:val="0"/>
          <w:marRight w:val="0"/>
          <w:marTop w:val="0"/>
          <w:marBottom w:val="0"/>
          <w:divBdr>
            <w:top w:val="none" w:sz="0" w:space="0" w:color="auto"/>
            <w:left w:val="none" w:sz="0" w:space="0" w:color="auto"/>
            <w:bottom w:val="none" w:sz="0" w:space="0" w:color="auto"/>
            <w:right w:val="none" w:sz="0" w:space="0" w:color="auto"/>
          </w:divBdr>
          <w:divsChild>
            <w:div w:id="1084760395">
              <w:marLeft w:val="0"/>
              <w:marRight w:val="0"/>
              <w:marTop w:val="0"/>
              <w:marBottom w:val="0"/>
              <w:divBdr>
                <w:top w:val="none" w:sz="0" w:space="0" w:color="auto"/>
                <w:left w:val="none" w:sz="0" w:space="0" w:color="auto"/>
                <w:bottom w:val="none" w:sz="0" w:space="0" w:color="auto"/>
                <w:right w:val="none" w:sz="0" w:space="0" w:color="auto"/>
              </w:divBdr>
              <w:divsChild>
                <w:div w:id="19198218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0074648">
      <w:bodyDiv w:val="1"/>
      <w:marLeft w:val="0"/>
      <w:marRight w:val="0"/>
      <w:marTop w:val="0"/>
      <w:marBottom w:val="0"/>
      <w:divBdr>
        <w:top w:val="none" w:sz="0" w:space="0" w:color="auto"/>
        <w:left w:val="none" w:sz="0" w:space="0" w:color="auto"/>
        <w:bottom w:val="none" w:sz="0" w:space="0" w:color="auto"/>
        <w:right w:val="none" w:sz="0" w:space="0" w:color="auto"/>
      </w:divBdr>
    </w:div>
    <w:div w:id="450245707">
      <w:bodyDiv w:val="1"/>
      <w:marLeft w:val="0"/>
      <w:marRight w:val="0"/>
      <w:marTop w:val="0"/>
      <w:marBottom w:val="0"/>
      <w:divBdr>
        <w:top w:val="none" w:sz="0" w:space="0" w:color="auto"/>
        <w:left w:val="none" w:sz="0" w:space="0" w:color="auto"/>
        <w:bottom w:val="none" w:sz="0" w:space="0" w:color="auto"/>
        <w:right w:val="none" w:sz="0" w:space="0" w:color="auto"/>
      </w:divBdr>
      <w:divsChild>
        <w:div w:id="2044093134">
          <w:marLeft w:val="0"/>
          <w:marRight w:val="0"/>
          <w:marTop w:val="0"/>
          <w:marBottom w:val="0"/>
          <w:divBdr>
            <w:top w:val="none" w:sz="0" w:space="0" w:color="auto"/>
            <w:left w:val="none" w:sz="0" w:space="0" w:color="auto"/>
            <w:bottom w:val="none" w:sz="0" w:space="0" w:color="auto"/>
            <w:right w:val="none" w:sz="0" w:space="0" w:color="auto"/>
          </w:divBdr>
          <w:divsChild>
            <w:div w:id="904799051">
              <w:marLeft w:val="0"/>
              <w:marRight w:val="0"/>
              <w:marTop w:val="0"/>
              <w:marBottom w:val="0"/>
              <w:divBdr>
                <w:top w:val="none" w:sz="0" w:space="0" w:color="auto"/>
                <w:left w:val="none" w:sz="0" w:space="0" w:color="auto"/>
                <w:bottom w:val="none" w:sz="0" w:space="0" w:color="auto"/>
                <w:right w:val="none" w:sz="0" w:space="0" w:color="auto"/>
              </w:divBdr>
              <w:divsChild>
                <w:div w:id="209349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3416534">
      <w:bodyDiv w:val="1"/>
      <w:marLeft w:val="0"/>
      <w:marRight w:val="0"/>
      <w:marTop w:val="0"/>
      <w:marBottom w:val="0"/>
      <w:divBdr>
        <w:top w:val="none" w:sz="0" w:space="0" w:color="auto"/>
        <w:left w:val="none" w:sz="0" w:space="0" w:color="auto"/>
        <w:bottom w:val="none" w:sz="0" w:space="0" w:color="auto"/>
        <w:right w:val="none" w:sz="0" w:space="0" w:color="auto"/>
      </w:divBdr>
    </w:div>
    <w:div w:id="600457784">
      <w:bodyDiv w:val="1"/>
      <w:marLeft w:val="0"/>
      <w:marRight w:val="0"/>
      <w:marTop w:val="0"/>
      <w:marBottom w:val="0"/>
      <w:divBdr>
        <w:top w:val="none" w:sz="0" w:space="0" w:color="auto"/>
        <w:left w:val="none" w:sz="0" w:space="0" w:color="auto"/>
        <w:bottom w:val="none" w:sz="0" w:space="0" w:color="auto"/>
        <w:right w:val="none" w:sz="0" w:space="0" w:color="auto"/>
      </w:divBdr>
    </w:div>
    <w:div w:id="773938888">
      <w:bodyDiv w:val="1"/>
      <w:marLeft w:val="0"/>
      <w:marRight w:val="0"/>
      <w:marTop w:val="0"/>
      <w:marBottom w:val="0"/>
      <w:divBdr>
        <w:top w:val="none" w:sz="0" w:space="0" w:color="auto"/>
        <w:left w:val="none" w:sz="0" w:space="0" w:color="auto"/>
        <w:bottom w:val="none" w:sz="0" w:space="0" w:color="auto"/>
        <w:right w:val="none" w:sz="0" w:space="0" w:color="auto"/>
      </w:divBdr>
    </w:div>
    <w:div w:id="1163543151">
      <w:bodyDiv w:val="1"/>
      <w:marLeft w:val="0"/>
      <w:marRight w:val="0"/>
      <w:marTop w:val="0"/>
      <w:marBottom w:val="0"/>
      <w:divBdr>
        <w:top w:val="none" w:sz="0" w:space="0" w:color="auto"/>
        <w:left w:val="none" w:sz="0" w:space="0" w:color="auto"/>
        <w:bottom w:val="none" w:sz="0" w:space="0" w:color="auto"/>
        <w:right w:val="none" w:sz="0" w:space="0" w:color="auto"/>
      </w:divBdr>
      <w:divsChild>
        <w:div w:id="1628312799">
          <w:marLeft w:val="0"/>
          <w:marRight w:val="0"/>
          <w:marTop w:val="0"/>
          <w:marBottom w:val="0"/>
          <w:divBdr>
            <w:top w:val="none" w:sz="0" w:space="0" w:color="auto"/>
            <w:left w:val="none" w:sz="0" w:space="0" w:color="auto"/>
            <w:bottom w:val="none" w:sz="0" w:space="0" w:color="auto"/>
            <w:right w:val="none" w:sz="0" w:space="0" w:color="auto"/>
          </w:divBdr>
          <w:divsChild>
            <w:div w:id="465320329">
              <w:marLeft w:val="0"/>
              <w:marRight w:val="0"/>
              <w:marTop w:val="0"/>
              <w:marBottom w:val="0"/>
              <w:divBdr>
                <w:top w:val="none" w:sz="0" w:space="0" w:color="auto"/>
                <w:left w:val="none" w:sz="0" w:space="0" w:color="auto"/>
                <w:bottom w:val="none" w:sz="0" w:space="0" w:color="auto"/>
                <w:right w:val="none" w:sz="0" w:space="0" w:color="auto"/>
              </w:divBdr>
              <w:divsChild>
                <w:div w:id="17590154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79068763">
      <w:bodyDiv w:val="1"/>
      <w:marLeft w:val="0"/>
      <w:marRight w:val="0"/>
      <w:marTop w:val="0"/>
      <w:marBottom w:val="0"/>
      <w:divBdr>
        <w:top w:val="none" w:sz="0" w:space="0" w:color="auto"/>
        <w:left w:val="none" w:sz="0" w:space="0" w:color="auto"/>
        <w:bottom w:val="none" w:sz="0" w:space="0" w:color="auto"/>
        <w:right w:val="none" w:sz="0" w:space="0" w:color="auto"/>
      </w:divBdr>
    </w:div>
    <w:div w:id="1363163801">
      <w:bodyDiv w:val="1"/>
      <w:marLeft w:val="0"/>
      <w:marRight w:val="0"/>
      <w:marTop w:val="0"/>
      <w:marBottom w:val="0"/>
      <w:divBdr>
        <w:top w:val="none" w:sz="0" w:space="0" w:color="auto"/>
        <w:left w:val="none" w:sz="0" w:space="0" w:color="auto"/>
        <w:bottom w:val="none" w:sz="0" w:space="0" w:color="auto"/>
        <w:right w:val="none" w:sz="0" w:space="0" w:color="auto"/>
      </w:divBdr>
    </w:div>
    <w:div w:id="1443761585">
      <w:bodyDiv w:val="1"/>
      <w:marLeft w:val="0"/>
      <w:marRight w:val="0"/>
      <w:marTop w:val="0"/>
      <w:marBottom w:val="0"/>
      <w:divBdr>
        <w:top w:val="none" w:sz="0" w:space="0" w:color="auto"/>
        <w:left w:val="none" w:sz="0" w:space="0" w:color="auto"/>
        <w:bottom w:val="none" w:sz="0" w:space="0" w:color="auto"/>
        <w:right w:val="none" w:sz="0" w:space="0" w:color="auto"/>
      </w:divBdr>
      <w:divsChild>
        <w:div w:id="512039746">
          <w:marLeft w:val="0"/>
          <w:marRight w:val="0"/>
          <w:marTop w:val="0"/>
          <w:marBottom w:val="0"/>
          <w:divBdr>
            <w:top w:val="none" w:sz="0" w:space="0" w:color="auto"/>
            <w:left w:val="none" w:sz="0" w:space="0" w:color="auto"/>
            <w:bottom w:val="none" w:sz="0" w:space="0" w:color="auto"/>
            <w:right w:val="none" w:sz="0" w:space="0" w:color="auto"/>
          </w:divBdr>
          <w:divsChild>
            <w:div w:id="719205477">
              <w:marLeft w:val="0"/>
              <w:marRight w:val="0"/>
              <w:marTop w:val="0"/>
              <w:marBottom w:val="0"/>
              <w:divBdr>
                <w:top w:val="none" w:sz="0" w:space="0" w:color="auto"/>
                <w:left w:val="none" w:sz="0" w:space="0" w:color="auto"/>
                <w:bottom w:val="none" w:sz="0" w:space="0" w:color="auto"/>
                <w:right w:val="none" w:sz="0" w:space="0" w:color="auto"/>
              </w:divBdr>
              <w:divsChild>
                <w:div w:id="5790232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8206854">
      <w:bodyDiv w:val="1"/>
      <w:marLeft w:val="0"/>
      <w:marRight w:val="0"/>
      <w:marTop w:val="0"/>
      <w:marBottom w:val="0"/>
      <w:divBdr>
        <w:top w:val="none" w:sz="0" w:space="0" w:color="auto"/>
        <w:left w:val="none" w:sz="0" w:space="0" w:color="auto"/>
        <w:bottom w:val="none" w:sz="0" w:space="0" w:color="auto"/>
        <w:right w:val="none" w:sz="0" w:space="0" w:color="auto"/>
      </w:divBdr>
      <w:divsChild>
        <w:div w:id="296305921">
          <w:marLeft w:val="0"/>
          <w:marRight w:val="0"/>
          <w:marTop w:val="0"/>
          <w:marBottom w:val="0"/>
          <w:divBdr>
            <w:top w:val="none" w:sz="0" w:space="0" w:color="auto"/>
            <w:left w:val="none" w:sz="0" w:space="0" w:color="auto"/>
            <w:bottom w:val="none" w:sz="0" w:space="0" w:color="auto"/>
            <w:right w:val="none" w:sz="0" w:space="0" w:color="auto"/>
          </w:divBdr>
          <w:divsChild>
            <w:div w:id="1592740306">
              <w:marLeft w:val="0"/>
              <w:marRight w:val="0"/>
              <w:marTop w:val="0"/>
              <w:marBottom w:val="0"/>
              <w:divBdr>
                <w:top w:val="none" w:sz="0" w:space="0" w:color="auto"/>
                <w:left w:val="none" w:sz="0" w:space="0" w:color="auto"/>
                <w:bottom w:val="none" w:sz="0" w:space="0" w:color="auto"/>
                <w:right w:val="none" w:sz="0" w:space="0" w:color="auto"/>
              </w:divBdr>
              <w:divsChild>
                <w:div w:id="18490532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03627755">
      <w:bodyDiv w:val="1"/>
      <w:marLeft w:val="0"/>
      <w:marRight w:val="0"/>
      <w:marTop w:val="0"/>
      <w:marBottom w:val="0"/>
      <w:divBdr>
        <w:top w:val="none" w:sz="0" w:space="0" w:color="auto"/>
        <w:left w:val="none" w:sz="0" w:space="0" w:color="auto"/>
        <w:bottom w:val="none" w:sz="0" w:space="0" w:color="auto"/>
        <w:right w:val="none" w:sz="0" w:space="0" w:color="auto"/>
      </w:divBdr>
    </w:div>
    <w:div w:id="1794472888">
      <w:bodyDiv w:val="1"/>
      <w:marLeft w:val="0"/>
      <w:marRight w:val="0"/>
      <w:marTop w:val="0"/>
      <w:marBottom w:val="0"/>
      <w:divBdr>
        <w:top w:val="none" w:sz="0" w:space="0" w:color="auto"/>
        <w:left w:val="none" w:sz="0" w:space="0" w:color="auto"/>
        <w:bottom w:val="none" w:sz="0" w:space="0" w:color="auto"/>
        <w:right w:val="none" w:sz="0" w:space="0" w:color="auto"/>
      </w:divBdr>
      <w:divsChild>
        <w:div w:id="1728449670">
          <w:marLeft w:val="0"/>
          <w:marRight w:val="0"/>
          <w:marTop w:val="0"/>
          <w:marBottom w:val="0"/>
          <w:divBdr>
            <w:top w:val="none" w:sz="0" w:space="0" w:color="auto"/>
            <w:left w:val="none" w:sz="0" w:space="0" w:color="auto"/>
            <w:bottom w:val="none" w:sz="0" w:space="0" w:color="auto"/>
            <w:right w:val="none" w:sz="0" w:space="0" w:color="auto"/>
          </w:divBdr>
          <w:divsChild>
            <w:div w:id="1070274107">
              <w:marLeft w:val="0"/>
              <w:marRight w:val="0"/>
              <w:marTop w:val="0"/>
              <w:marBottom w:val="0"/>
              <w:divBdr>
                <w:top w:val="none" w:sz="0" w:space="0" w:color="auto"/>
                <w:left w:val="none" w:sz="0" w:space="0" w:color="auto"/>
                <w:bottom w:val="none" w:sz="0" w:space="0" w:color="auto"/>
                <w:right w:val="none" w:sz="0" w:space="0" w:color="auto"/>
              </w:divBdr>
              <w:divsChild>
                <w:div w:id="1344948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91115786">
      <w:bodyDiv w:val="1"/>
      <w:marLeft w:val="0"/>
      <w:marRight w:val="0"/>
      <w:marTop w:val="0"/>
      <w:marBottom w:val="0"/>
      <w:divBdr>
        <w:top w:val="none" w:sz="0" w:space="0" w:color="auto"/>
        <w:left w:val="none" w:sz="0" w:space="0" w:color="auto"/>
        <w:bottom w:val="none" w:sz="0" w:space="0" w:color="auto"/>
        <w:right w:val="none" w:sz="0" w:space="0" w:color="auto"/>
      </w:divBdr>
    </w:div>
    <w:div w:id="1896693304">
      <w:bodyDiv w:val="1"/>
      <w:marLeft w:val="0"/>
      <w:marRight w:val="0"/>
      <w:marTop w:val="0"/>
      <w:marBottom w:val="0"/>
      <w:divBdr>
        <w:top w:val="none" w:sz="0" w:space="0" w:color="auto"/>
        <w:left w:val="none" w:sz="0" w:space="0" w:color="auto"/>
        <w:bottom w:val="none" w:sz="0" w:space="0" w:color="auto"/>
        <w:right w:val="none" w:sz="0" w:space="0" w:color="auto"/>
      </w:divBdr>
      <w:divsChild>
        <w:div w:id="1228608036">
          <w:marLeft w:val="0"/>
          <w:marRight w:val="0"/>
          <w:marTop w:val="0"/>
          <w:marBottom w:val="0"/>
          <w:divBdr>
            <w:top w:val="none" w:sz="0" w:space="0" w:color="auto"/>
            <w:left w:val="none" w:sz="0" w:space="0" w:color="auto"/>
            <w:bottom w:val="none" w:sz="0" w:space="0" w:color="auto"/>
            <w:right w:val="none" w:sz="0" w:space="0" w:color="auto"/>
          </w:divBdr>
          <w:divsChild>
            <w:div w:id="810632502">
              <w:marLeft w:val="0"/>
              <w:marRight w:val="0"/>
              <w:marTop w:val="0"/>
              <w:marBottom w:val="0"/>
              <w:divBdr>
                <w:top w:val="none" w:sz="0" w:space="0" w:color="auto"/>
                <w:left w:val="none" w:sz="0" w:space="0" w:color="auto"/>
                <w:bottom w:val="none" w:sz="0" w:space="0" w:color="auto"/>
                <w:right w:val="none" w:sz="0" w:space="0" w:color="auto"/>
              </w:divBdr>
              <w:divsChild>
                <w:div w:id="17118778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3757349">
      <w:bodyDiv w:val="1"/>
      <w:marLeft w:val="0"/>
      <w:marRight w:val="0"/>
      <w:marTop w:val="0"/>
      <w:marBottom w:val="0"/>
      <w:divBdr>
        <w:top w:val="none" w:sz="0" w:space="0" w:color="auto"/>
        <w:left w:val="none" w:sz="0" w:space="0" w:color="auto"/>
        <w:bottom w:val="none" w:sz="0" w:space="0" w:color="auto"/>
        <w:right w:val="none" w:sz="0" w:space="0" w:color="auto"/>
      </w:divBdr>
      <w:divsChild>
        <w:div w:id="2119526710">
          <w:marLeft w:val="0"/>
          <w:marRight w:val="0"/>
          <w:marTop w:val="0"/>
          <w:marBottom w:val="0"/>
          <w:divBdr>
            <w:top w:val="none" w:sz="0" w:space="0" w:color="auto"/>
            <w:left w:val="none" w:sz="0" w:space="0" w:color="auto"/>
            <w:bottom w:val="none" w:sz="0" w:space="0" w:color="auto"/>
            <w:right w:val="none" w:sz="0" w:space="0" w:color="auto"/>
          </w:divBdr>
          <w:divsChild>
            <w:div w:id="1469856742">
              <w:marLeft w:val="0"/>
              <w:marRight w:val="0"/>
              <w:marTop w:val="0"/>
              <w:marBottom w:val="0"/>
              <w:divBdr>
                <w:top w:val="none" w:sz="0" w:space="0" w:color="auto"/>
                <w:left w:val="none" w:sz="0" w:space="0" w:color="auto"/>
                <w:bottom w:val="none" w:sz="0" w:space="0" w:color="auto"/>
                <w:right w:val="none" w:sz="0" w:space="0" w:color="auto"/>
              </w:divBdr>
              <w:divsChild>
                <w:div w:id="17839596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hyperlink" Target="https://doi.org/10.1111/jvim.15076" TargetMode="External"/><Relationship Id="rId3" Type="http://schemas.openxmlformats.org/officeDocument/2006/relationships/settings" Target="settings.xml"/><Relationship Id="rId21" Type="http://schemas.openxmlformats.org/officeDocument/2006/relationships/hyperlink" Target="https://doi.org/10.1111/jvim.12555" TargetMode="Externa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hyperlink" Target="https://doi.org/10.1111/j.1748-5827.2009.00820.x" TargetMode="External"/><Relationship Id="rId2" Type="http://schemas.openxmlformats.org/officeDocument/2006/relationships/styles" Target="styles.xml"/><Relationship Id="rId16" Type="http://schemas.openxmlformats.org/officeDocument/2006/relationships/hyperlink" Target="https://doi.org/10.1038/ajg.2011.30" TargetMode="External"/><Relationship Id="rId20" Type="http://schemas.openxmlformats.org/officeDocument/2006/relationships/hyperlink" Target="https://doi.org/10.1111/jvim.12580"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6.tiff"/><Relationship Id="rId19" Type="http://schemas.openxmlformats.org/officeDocument/2006/relationships/hyperlink" Target="https://doi.org/10.1016/j.nut.2013.01.025"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cbi.nlm.nih.gov/pmc/articles/PMC3163293/" TargetMode="External"/><Relationship Id="rId22" Type="http://schemas.openxmlformats.org/officeDocument/2006/relationships/hyperlink" Target="https://doi.org/10.1111/vec.12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20</Pages>
  <Words>4249</Words>
  <Characters>24222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Tong</dc:creator>
  <cp:keywords/>
  <dc:description/>
  <cp:lastModifiedBy>Carissa Tong</cp:lastModifiedBy>
  <cp:revision>465</cp:revision>
  <dcterms:created xsi:type="dcterms:W3CDTF">2018-09-05T01:16:00Z</dcterms:created>
  <dcterms:modified xsi:type="dcterms:W3CDTF">2018-09-28T22:06:00Z</dcterms:modified>
</cp:coreProperties>
</file>