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4B886" w14:textId="77777777" w:rsidR="00560FF4" w:rsidRDefault="00441DB4">
      <w:r>
        <w:rPr>
          <w:rFonts w:hint="eastAsia"/>
          <w:noProof/>
        </w:rPr>
        <w:drawing>
          <wp:inline distT="0" distB="0" distL="0" distR="0" wp14:anchorId="75CE0541" wp14:editId="7BAC81A0">
            <wp:extent cx="5943600" cy="454437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4-03 at 11.00.18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7BB6E" w14:textId="77777777" w:rsidR="00E850D0" w:rsidRDefault="00E850D0"/>
    <w:p w14:paraId="384E4121" w14:textId="77777777" w:rsidR="00E850D0" w:rsidRDefault="00E850D0" w:rsidP="00E850D0">
      <w:pPr>
        <w:pStyle w:val="ListParagraph"/>
        <w:numPr>
          <w:ilvl w:val="0"/>
          <w:numId w:val="1"/>
        </w:numPr>
      </w:pPr>
      <w:r>
        <w:t>Atenolol as a selective beta1-adrenergic receptor antagonist</w:t>
      </w:r>
    </w:p>
    <w:p w14:paraId="2D25647C" w14:textId="77777777" w:rsidR="00E850D0" w:rsidRDefault="00E850D0" w:rsidP="00E850D0">
      <w:pPr>
        <w:pStyle w:val="ListParagraph"/>
        <w:numPr>
          <w:ilvl w:val="1"/>
          <w:numId w:val="1"/>
        </w:numPr>
      </w:pPr>
      <w:r>
        <w:rPr>
          <w:rFonts w:hint="eastAsia"/>
        </w:rPr>
        <w:t>L</w:t>
      </w:r>
      <w:r>
        <w:t>imits myocardial oxygen consumption and preserve myocardial function via decreasing heart rate and contractility</w:t>
      </w:r>
    </w:p>
    <w:p w14:paraId="0E8CA631" w14:textId="77777777" w:rsidR="00E850D0" w:rsidRDefault="00E850D0" w:rsidP="00E850D0">
      <w:pPr>
        <w:pStyle w:val="ListParagraph"/>
        <w:numPr>
          <w:ilvl w:val="0"/>
          <w:numId w:val="1"/>
        </w:numPr>
      </w:pPr>
      <w:r>
        <w:t>Typically dosed at q12 or q24 interval but elimination half life is 3-7 hours in dogs with peak plasma concentration at 1-2 hours post oral administration</w:t>
      </w:r>
    </w:p>
    <w:p w14:paraId="44D061AB" w14:textId="77777777" w:rsidR="00E850D0" w:rsidRDefault="00E850D0" w:rsidP="00E850D0">
      <w:pPr>
        <w:pStyle w:val="ListParagraph"/>
        <w:numPr>
          <w:ilvl w:val="0"/>
          <w:numId w:val="1"/>
        </w:numPr>
      </w:pPr>
      <w:r>
        <w:t>Prospective double blinded randomized placebo controlled crossover study</w:t>
      </w:r>
    </w:p>
    <w:p w14:paraId="093FBBFC" w14:textId="77777777" w:rsidR="00E850D0" w:rsidRDefault="00E850D0" w:rsidP="00E850D0">
      <w:pPr>
        <w:pStyle w:val="ListParagraph"/>
        <w:numPr>
          <w:ilvl w:val="0"/>
          <w:numId w:val="1"/>
        </w:numPr>
      </w:pPr>
      <w:r>
        <w:t>20 healthy dogs</w:t>
      </w:r>
    </w:p>
    <w:p w14:paraId="6D1B645F" w14:textId="77777777" w:rsidR="00E850D0" w:rsidRDefault="00E850D0" w:rsidP="00E850D0">
      <w:pPr>
        <w:pStyle w:val="ListParagraph"/>
        <w:numPr>
          <w:ilvl w:val="0"/>
          <w:numId w:val="1"/>
        </w:numPr>
      </w:pPr>
      <w:r>
        <w:t>Received atenolol 1 mg/kg PO q24 or placebo for 5-7 days, 7 day wash out period, then dogs receive other treatment</w:t>
      </w:r>
    </w:p>
    <w:p w14:paraId="4EE688B2" w14:textId="77777777" w:rsidR="00E850D0" w:rsidRDefault="00E850D0" w:rsidP="00E850D0">
      <w:pPr>
        <w:pStyle w:val="ListParagraph"/>
        <w:numPr>
          <w:ilvl w:val="0"/>
          <w:numId w:val="1"/>
        </w:numPr>
      </w:pPr>
      <w:r>
        <w:t>HR at rest and HR induced by administration of isoproterenol at CRI 0.2ug/kg/min obtained looking at ECG 0, 0.25, 3, 6, 12, 18, 24 hours</w:t>
      </w:r>
    </w:p>
    <w:p w14:paraId="7D16FBFD" w14:textId="77777777" w:rsidR="00E850D0" w:rsidRDefault="00E850D0" w:rsidP="00E850D0">
      <w:pPr>
        <w:pStyle w:val="ListParagraph"/>
        <w:numPr>
          <w:ilvl w:val="0"/>
          <w:numId w:val="1"/>
        </w:numPr>
      </w:pPr>
      <w:r>
        <w:t>Atenolol significantly attenuated heart rate up to 24 hours, maximally at 3 hours, minimally at 18 and 24 hours</w:t>
      </w:r>
    </w:p>
    <w:p w14:paraId="7BAAD087" w14:textId="77777777" w:rsidR="00334349" w:rsidRDefault="00334349" w:rsidP="00334349"/>
    <w:p w14:paraId="71C5FF91" w14:textId="5F3A886A" w:rsidR="00334349" w:rsidRDefault="00334349" w:rsidP="00334349">
      <w:r>
        <w:rPr>
          <w:noProof/>
        </w:rPr>
        <w:lastRenderedPageBreak/>
        <w:drawing>
          <wp:inline distT="0" distB="0" distL="0" distR="0" wp14:anchorId="639037C0" wp14:editId="5BF39DDB">
            <wp:extent cx="5943600" cy="51536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4-03 at 11.58.20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BAEEE" w14:textId="77777777" w:rsidR="00334349" w:rsidRDefault="00334349" w:rsidP="00334349"/>
    <w:p w14:paraId="7172A82A" w14:textId="1253C245" w:rsidR="00334349" w:rsidRDefault="00334349" w:rsidP="00334349">
      <w:pPr>
        <w:pStyle w:val="ListParagraph"/>
        <w:numPr>
          <w:ilvl w:val="0"/>
          <w:numId w:val="2"/>
        </w:numPr>
      </w:pPr>
      <w:r>
        <w:t xml:space="preserve">Fluid responsiveness is ability for individual to increase stroke volume by 10-15% after </w:t>
      </w:r>
      <w:r>
        <w:rPr>
          <w:rFonts w:hint="eastAsia"/>
        </w:rPr>
        <w:t>receiving</w:t>
      </w:r>
      <w:r>
        <w:t xml:space="preserve"> appropriate fluid bolus</w:t>
      </w:r>
    </w:p>
    <w:p w14:paraId="608D26B7" w14:textId="77777777" w:rsidR="00334349" w:rsidRPr="00334349" w:rsidRDefault="00334349" w:rsidP="00334349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334349">
        <w:rPr>
          <w:rFonts w:eastAsia="Times New Roman" w:cs="Times New Roman"/>
        </w:rPr>
        <w:t xml:space="preserve">The purpose of the study reported here was to assess the discriminatory power of </w:t>
      </w:r>
      <w:proofErr w:type="spellStart"/>
      <w:r w:rsidRPr="00334349">
        <w:rPr>
          <w:rFonts w:eastAsia="Times New Roman" w:cs="Times New Roman"/>
        </w:rPr>
        <w:t>FoCUD</w:t>
      </w:r>
      <w:proofErr w:type="spellEnd"/>
      <w:r w:rsidRPr="00334349">
        <w:rPr>
          <w:rFonts w:eastAsia="Times New Roman" w:cs="Times New Roman"/>
        </w:rPr>
        <w:t xml:space="preserve"> and selected echocardiographic indices to predict FR in spontaneously breathing dogs. Specifically, </w:t>
      </w:r>
      <w:proofErr w:type="spellStart"/>
      <w:r w:rsidRPr="00334349">
        <w:rPr>
          <w:rFonts w:eastAsia="Times New Roman" w:cs="Times New Roman"/>
        </w:rPr>
        <w:t>LVIDDn</w:t>
      </w:r>
      <w:proofErr w:type="spellEnd"/>
      <w:r w:rsidRPr="00334349">
        <w:rPr>
          <w:rFonts w:eastAsia="Times New Roman" w:cs="Times New Roman"/>
        </w:rPr>
        <w:t xml:space="preserve">, left ventricular EDVI, </w:t>
      </w:r>
      <w:proofErr w:type="spellStart"/>
      <w:r w:rsidRPr="00334349">
        <w:rPr>
          <w:rFonts w:eastAsia="Times New Roman" w:cs="Times New Roman"/>
        </w:rPr>
        <w:t>VTIAo</w:t>
      </w:r>
      <w:proofErr w:type="spellEnd"/>
      <w:r w:rsidRPr="00334349">
        <w:rPr>
          <w:rFonts w:eastAsia="Times New Roman" w:cs="Times New Roman"/>
        </w:rPr>
        <w:t xml:space="preserve">, and </w:t>
      </w:r>
      <w:proofErr w:type="spellStart"/>
      <w:r w:rsidRPr="00334349">
        <w:rPr>
          <w:rFonts w:eastAsia="Times New Roman" w:cs="Times New Roman"/>
        </w:rPr>
        <w:t>VmaxAo</w:t>
      </w:r>
      <w:proofErr w:type="spellEnd"/>
      <w:r w:rsidRPr="00334349">
        <w:rPr>
          <w:rFonts w:eastAsia="Times New Roman" w:cs="Times New Roman"/>
        </w:rPr>
        <w:t xml:space="preserve"> were explored as independent predictors of FR in a heterogeneous group of conscious, critically ill dogs.</w:t>
      </w:r>
    </w:p>
    <w:p w14:paraId="5CB5982E" w14:textId="77777777" w:rsidR="00DF3F72" w:rsidRPr="00DF3F72" w:rsidRDefault="00DF3F72" w:rsidP="00DF3F72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DF3F72">
        <w:rPr>
          <w:rFonts w:eastAsia="Times New Roman" w:cs="Times New Roman"/>
        </w:rPr>
        <w:t xml:space="preserve">All </w:t>
      </w:r>
      <w:proofErr w:type="spellStart"/>
      <w:r w:rsidRPr="00DF3F72">
        <w:rPr>
          <w:rFonts w:eastAsia="Times New Roman" w:cs="Times New Roman"/>
        </w:rPr>
        <w:t>echographic</w:t>
      </w:r>
      <w:proofErr w:type="spellEnd"/>
      <w:r w:rsidRPr="00DF3F72">
        <w:rPr>
          <w:rFonts w:eastAsia="Times New Roman" w:cs="Times New Roman"/>
        </w:rPr>
        <w:t xml:space="preserve"> indices evaluated in the present study were good to excellent predictors of FR (as defined) in a heterogeneous group of conscious dogs with various clinical conditions. The optimal cutoffs for discriminating responders to bolus fluid administration from </w:t>
      </w:r>
      <w:proofErr w:type="spellStart"/>
      <w:r w:rsidRPr="00DF3F72">
        <w:rPr>
          <w:rFonts w:eastAsia="Times New Roman" w:cs="Times New Roman"/>
        </w:rPr>
        <w:t>nonresponders</w:t>
      </w:r>
      <w:proofErr w:type="spellEnd"/>
      <w:r w:rsidRPr="00DF3F72">
        <w:rPr>
          <w:rFonts w:eastAsia="Times New Roman" w:cs="Times New Roman"/>
        </w:rPr>
        <w:t xml:space="preserve"> had 100% specificity for EDVI, </w:t>
      </w:r>
      <w:proofErr w:type="spellStart"/>
      <w:r w:rsidRPr="00DF3F72">
        <w:rPr>
          <w:rFonts w:eastAsia="Times New Roman" w:cs="Times New Roman"/>
        </w:rPr>
        <w:t>LVIDDn</w:t>
      </w:r>
      <w:proofErr w:type="spellEnd"/>
      <w:r w:rsidRPr="00DF3F72">
        <w:rPr>
          <w:rFonts w:eastAsia="Times New Roman" w:cs="Times New Roman"/>
        </w:rPr>
        <w:t xml:space="preserve">, LVVS, and </w:t>
      </w:r>
      <w:proofErr w:type="spellStart"/>
      <w:r w:rsidRPr="00DF3F72">
        <w:rPr>
          <w:rFonts w:eastAsia="Times New Roman" w:cs="Times New Roman"/>
        </w:rPr>
        <w:t>VTIAo</w:t>
      </w:r>
      <w:proofErr w:type="spellEnd"/>
      <w:r w:rsidRPr="00DF3F72">
        <w:rPr>
          <w:rFonts w:eastAsia="Times New Roman" w:cs="Times New Roman"/>
        </w:rPr>
        <w:t>. This finding suggested the high accuracy of the test in terms of specificity and the ability to classify dogs as responders without false-positive results</w:t>
      </w:r>
    </w:p>
    <w:p w14:paraId="325084D8" w14:textId="77777777" w:rsidR="00334349" w:rsidRDefault="00334349" w:rsidP="00DC202C"/>
    <w:p w14:paraId="7F7D6F9F" w14:textId="74734220" w:rsidR="00DC202C" w:rsidRDefault="00DC202C" w:rsidP="00DC202C">
      <w:r>
        <w:rPr>
          <w:noProof/>
        </w:rPr>
        <w:drawing>
          <wp:inline distT="0" distB="0" distL="0" distR="0" wp14:anchorId="04BCCC5A" wp14:editId="2339208F">
            <wp:extent cx="5943600" cy="41992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4-03 at 1.15.55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2CE29" w14:textId="26BBB9D6" w:rsidR="00DC202C" w:rsidRDefault="00DC202C" w:rsidP="00DC202C">
      <w:pPr>
        <w:pStyle w:val="ListParagraph"/>
        <w:numPr>
          <w:ilvl w:val="0"/>
          <w:numId w:val="3"/>
        </w:numPr>
      </w:pPr>
      <w:r>
        <w:t>6 healthy beagle dogs</w:t>
      </w:r>
    </w:p>
    <w:p w14:paraId="25617469" w14:textId="071E1A17" w:rsidR="00DC202C" w:rsidRDefault="00DC202C" w:rsidP="00DC202C">
      <w:pPr>
        <w:pStyle w:val="ListParagraph"/>
        <w:numPr>
          <w:ilvl w:val="0"/>
          <w:numId w:val="3"/>
        </w:numPr>
      </w:pPr>
      <w:r>
        <w:t>MR was surgically</w:t>
      </w:r>
      <w:r w:rsidR="0006399B">
        <w:t xml:space="preserve"> induced, </w:t>
      </w:r>
      <w:proofErr w:type="spellStart"/>
      <w:r w:rsidR="0006399B">
        <w:t>radiotransmitter</w:t>
      </w:r>
      <w:proofErr w:type="spellEnd"/>
      <w:r w:rsidR="0006399B">
        <w:t xml:space="preserve"> catheter was placed in left atrium and aorta, </w:t>
      </w:r>
      <w:r>
        <w:t xml:space="preserve">and then animal was rested for 4 weeks before </w:t>
      </w:r>
      <w:proofErr w:type="spellStart"/>
      <w:r>
        <w:t>alacepril</w:t>
      </w:r>
      <w:proofErr w:type="spellEnd"/>
      <w:r>
        <w:t xml:space="preserve"> was administered 1.5mg/kg q12 for 7 days or 3mg/kg q12 for 7 days. A</w:t>
      </w:r>
      <w:r>
        <w:rPr>
          <w:rFonts w:hint="eastAsia"/>
        </w:rPr>
        <w:t>f</w:t>
      </w:r>
      <w:r>
        <w:t xml:space="preserve">ter another </w:t>
      </w:r>
      <w:proofErr w:type="gramStart"/>
      <w:r>
        <w:t>4 week</w:t>
      </w:r>
      <w:proofErr w:type="gramEnd"/>
      <w:r>
        <w:t xml:space="preserve"> washout period, animal was then randomized to receive 3mg/kg</w:t>
      </w:r>
      <w:r w:rsidR="0006399B">
        <w:t>/day or 6mg/kg/day for 7 days.</w:t>
      </w:r>
    </w:p>
    <w:p w14:paraId="2AE99077" w14:textId="1F338208" w:rsidR="0006399B" w:rsidRDefault="0006399B" w:rsidP="00DC202C">
      <w:pPr>
        <w:pStyle w:val="ListParagraph"/>
        <w:numPr>
          <w:ilvl w:val="0"/>
          <w:numId w:val="3"/>
        </w:numPr>
      </w:pPr>
      <w:r>
        <w:t>HR, LAP and central aortic pressure was measured for 24 hours before administration and every day after administration</w:t>
      </w:r>
    </w:p>
    <w:p w14:paraId="10F2E8F8" w14:textId="37B71862" w:rsidR="0006399B" w:rsidRDefault="0006399B" w:rsidP="00DC202C">
      <w:pPr>
        <w:pStyle w:val="ListParagraph"/>
        <w:numPr>
          <w:ilvl w:val="0"/>
          <w:numId w:val="3"/>
        </w:numPr>
      </w:pPr>
      <w:proofErr w:type="spellStart"/>
      <w:r>
        <w:rPr>
          <w:rFonts w:hint="eastAsia"/>
        </w:rPr>
        <w:t>A</w:t>
      </w:r>
      <w:r>
        <w:t>lacepril</w:t>
      </w:r>
      <w:proofErr w:type="spellEnd"/>
      <w:r>
        <w:t xml:space="preserve"> at 6.0mg/kg/day had significant decrease in LAP and central aortic pressure within 7 days (as early as day 4 or 5)</w:t>
      </w:r>
    </w:p>
    <w:p w14:paraId="3DCBEE49" w14:textId="77777777" w:rsidR="00DC202C" w:rsidRDefault="00DC202C" w:rsidP="00DC202C"/>
    <w:p w14:paraId="538135DE" w14:textId="4BF733C5" w:rsidR="00DC202C" w:rsidRDefault="00DC202C" w:rsidP="00DC202C">
      <w:r>
        <w:rPr>
          <w:noProof/>
        </w:rPr>
        <w:drawing>
          <wp:inline distT="0" distB="0" distL="0" distR="0" wp14:anchorId="6589DEFC" wp14:editId="0F14F7B6">
            <wp:extent cx="5943600" cy="4993640"/>
            <wp:effectExtent l="0" t="0" r="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4-03 at 1.16.44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55893" w14:textId="65F3F1E4" w:rsidR="002F5DCE" w:rsidRDefault="002F5DCE" w:rsidP="00DC202C">
      <w:pPr>
        <w:pStyle w:val="ListParagraph"/>
        <w:numPr>
          <w:ilvl w:val="0"/>
          <w:numId w:val="3"/>
        </w:numPr>
      </w:pPr>
      <w:r>
        <w:t xml:space="preserve">In human medicine, AKI and AP are common comorbidities. AP leads to AKI via </w:t>
      </w:r>
      <w:proofErr w:type="spellStart"/>
      <w:r>
        <w:t>hypovolemia</w:t>
      </w:r>
      <w:proofErr w:type="spellEnd"/>
      <w:r>
        <w:t>, cytokine-induced ischemia, inflammation, and oxidative stress</w:t>
      </w:r>
    </w:p>
    <w:p w14:paraId="326FB7D1" w14:textId="224CFC02" w:rsidR="00DC202C" w:rsidRDefault="002F5DCE" w:rsidP="00DC202C">
      <w:pPr>
        <w:pStyle w:val="ListParagraph"/>
        <w:numPr>
          <w:ilvl w:val="0"/>
          <w:numId w:val="3"/>
        </w:numPr>
      </w:pPr>
      <w:r>
        <w:t xml:space="preserve">Retrospective study looking at 65 dogs with AP to evaluate prevalence of AKI and determine </w:t>
      </w:r>
      <w:r>
        <w:rPr>
          <w:rFonts w:hint="eastAsia"/>
        </w:rPr>
        <w:t>prognostic</w:t>
      </w:r>
      <w:r>
        <w:t xml:space="preserve"> value of various </w:t>
      </w:r>
      <w:proofErr w:type="spellStart"/>
      <w:r>
        <w:t>clinicopathological</w:t>
      </w:r>
      <w:proofErr w:type="spellEnd"/>
      <w:r>
        <w:t xml:space="preserve"> parameters</w:t>
      </w:r>
    </w:p>
    <w:p w14:paraId="3F1D92F9" w14:textId="77777777" w:rsidR="00D60934" w:rsidRDefault="002F5DCE" w:rsidP="00DC202C">
      <w:pPr>
        <w:pStyle w:val="ListParagraph"/>
        <w:numPr>
          <w:ilvl w:val="0"/>
          <w:numId w:val="3"/>
        </w:numPr>
      </w:pPr>
      <w:r>
        <w:t xml:space="preserve">Diagnosis of AP based on 1) two or more of following </w:t>
      </w:r>
      <w:r>
        <w:rPr>
          <w:rFonts w:hint="eastAsia"/>
        </w:rPr>
        <w:t>clinical</w:t>
      </w:r>
      <w:r>
        <w:t xml:space="preserve"> signs: V+/D+/anorexia, abdominal pain 2) presence of AUS without other signs of extra-pancreatic disease 3) abnormal SNAP </w:t>
      </w:r>
      <w:proofErr w:type="spellStart"/>
      <w:r>
        <w:t>cPL</w:t>
      </w:r>
      <w:proofErr w:type="spellEnd"/>
    </w:p>
    <w:p w14:paraId="7E6CAD64" w14:textId="36ADFE6F" w:rsidR="002F5DCE" w:rsidRDefault="00D60934" w:rsidP="00DC202C">
      <w:pPr>
        <w:pStyle w:val="ListParagraph"/>
        <w:numPr>
          <w:ilvl w:val="0"/>
          <w:numId w:val="3"/>
        </w:numPr>
      </w:pPr>
      <w:r>
        <w:t xml:space="preserve">Results/discussion: Clinical severity index ≥ 6.5 associated with poor outcome, significant association between azotemia and increased risk of mortality, </w:t>
      </w:r>
      <w:proofErr w:type="spellStart"/>
      <w:r>
        <w:t>oligo</w:t>
      </w:r>
      <w:proofErr w:type="spellEnd"/>
      <w:r>
        <w:t>-anuria associated with poor outcome</w:t>
      </w:r>
      <w:r w:rsidR="002F5DCE">
        <w:t xml:space="preserve"> </w:t>
      </w:r>
    </w:p>
    <w:p w14:paraId="02EB9755" w14:textId="77777777" w:rsidR="00DC202C" w:rsidRDefault="00DC202C" w:rsidP="00DC202C"/>
    <w:p w14:paraId="23195985" w14:textId="57717D5B" w:rsidR="00DC202C" w:rsidRDefault="00DC202C" w:rsidP="00DC202C">
      <w:bookmarkStart w:id="0" w:name="_GoBack"/>
      <w:r>
        <w:rPr>
          <w:noProof/>
        </w:rPr>
        <w:drawing>
          <wp:inline distT="0" distB="0" distL="0" distR="0" wp14:anchorId="37E2DE41" wp14:editId="0D9C30FE">
            <wp:extent cx="5600700" cy="4461412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4-03 at 1.17.29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46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FD12CCC" w14:textId="0017E205" w:rsidR="004A177A" w:rsidRDefault="004A177A" w:rsidP="004A177A">
      <w:pPr>
        <w:pStyle w:val="ListParagraph"/>
        <w:numPr>
          <w:ilvl w:val="0"/>
          <w:numId w:val="4"/>
        </w:numPr>
      </w:pPr>
      <w:proofErr w:type="spellStart"/>
      <w:r>
        <w:t>Ehrlichia</w:t>
      </w:r>
      <w:proofErr w:type="spellEnd"/>
      <w:r>
        <w:t xml:space="preserve"> </w:t>
      </w:r>
      <w:proofErr w:type="spellStart"/>
      <w:r>
        <w:t>canis</w:t>
      </w:r>
      <w:proofErr w:type="spellEnd"/>
      <w:r>
        <w:t xml:space="preserve"> infection from blood transfusion or tick attachment</w:t>
      </w:r>
    </w:p>
    <w:p w14:paraId="25DBE61E" w14:textId="23F8DBE1" w:rsidR="004A177A" w:rsidRDefault="004A177A" w:rsidP="004A177A">
      <w:pPr>
        <w:pStyle w:val="ListParagraph"/>
        <w:numPr>
          <w:ilvl w:val="0"/>
          <w:numId w:val="4"/>
        </w:numPr>
      </w:pPr>
      <w:r>
        <w:t xml:space="preserve">Experimental setting divides into acute (2-4 </w:t>
      </w:r>
      <w:proofErr w:type="spellStart"/>
      <w:r>
        <w:t>wks</w:t>
      </w:r>
      <w:proofErr w:type="spellEnd"/>
      <w:r>
        <w:t>), subclinical (months to years) and chronic phase but distinction not as straightforward in dogs with naturally occurring disease</w:t>
      </w:r>
    </w:p>
    <w:p w14:paraId="1FF52D54" w14:textId="001D535C" w:rsidR="004A177A" w:rsidRDefault="004A177A" w:rsidP="004A177A">
      <w:pPr>
        <w:pStyle w:val="ListParagraph"/>
        <w:numPr>
          <w:ilvl w:val="0"/>
          <w:numId w:val="4"/>
        </w:numPr>
      </w:pPr>
      <w:r>
        <w:t>Clinical signs of fever, depression/lethargy, anorexia, generalized lymphadenopathy, splenomegaly, mucosal pallor, bleeding tendency</w:t>
      </w:r>
    </w:p>
    <w:p w14:paraId="25528120" w14:textId="77777777" w:rsidR="004A177A" w:rsidRDefault="004A177A" w:rsidP="004A177A">
      <w:pPr>
        <w:pStyle w:val="ListParagraph"/>
        <w:numPr>
          <w:ilvl w:val="1"/>
          <w:numId w:val="4"/>
        </w:numPr>
      </w:pPr>
      <w:r>
        <w:t xml:space="preserve">Acute likely infested with ticks with ulcerative stomatitis, necrotic </w:t>
      </w:r>
      <w:proofErr w:type="spellStart"/>
      <w:r>
        <w:t>glossitis</w:t>
      </w:r>
      <w:proofErr w:type="spellEnd"/>
      <w:r>
        <w:t xml:space="preserve">, </w:t>
      </w:r>
      <w:proofErr w:type="spellStart"/>
      <w:r>
        <w:t>hindlim</w:t>
      </w:r>
      <w:proofErr w:type="spellEnd"/>
      <w:r>
        <w:t xml:space="preserve"> and/or scrotal edema</w:t>
      </w:r>
    </w:p>
    <w:p w14:paraId="674A2EF8" w14:textId="1F12668F" w:rsidR="004A177A" w:rsidRDefault="004A177A" w:rsidP="004A177A">
      <w:pPr>
        <w:pStyle w:val="ListParagraph"/>
        <w:numPr>
          <w:ilvl w:val="1"/>
          <w:numId w:val="4"/>
        </w:numPr>
      </w:pPr>
      <w:r>
        <w:t>Chronic signs of CNS signs, cervical pain, bleeding diathesis (</w:t>
      </w:r>
      <w:proofErr w:type="spellStart"/>
      <w:r>
        <w:t>petechiae</w:t>
      </w:r>
      <w:proofErr w:type="spellEnd"/>
      <w:r>
        <w:t xml:space="preserve">, </w:t>
      </w:r>
      <w:proofErr w:type="spellStart"/>
      <w:r>
        <w:t>ecchymoses</w:t>
      </w:r>
      <w:proofErr w:type="spellEnd"/>
      <w:r>
        <w:t>, epistaxis, melena, hematuria</w:t>
      </w:r>
    </w:p>
    <w:p w14:paraId="61926E67" w14:textId="77777777" w:rsidR="004A177A" w:rsidRDefault="004A177A" w:rsidP="004A177A">
      <w:pPr>
        <w:pStyle w:val="ListParagraph"/>
        <w:numPr>
          <w:ilvl w:val="0"/>
          <w:numId w:val="4"/>
        </w:numPr>
      </w:pPr>
      <w:r>
        <w:t xml:space="preserve">Tetracycline broad spectrum antibacterial </w:t>
      </w:r>
      <w:proofErr w:type="spellStart"/>
      <w:r>
        <w:t>agenst</w:t>
      </w:r>
      <w:proofErr w:type="spellEnd"/>
      <w:r>
        <w:t xml:space="preserve"> that act by inhibiting attachment of </w:t>
      </w:r>
      <w:proofErr w:type="spellStart"/>
      <w:r>
        <w:t>aminoacyl-tRNA</w:t>
      </w:r>
      <w:proofErr w:type="spellEnd"/>
      <w:r>
        <w:t xml:space="preserve"> to bacterial ribosome during protein synthesis</w:t>
      </w:r>
    </w:p>
    <w:p w14:paraId="48E6A99D" w14:textId="74001034" w:rsidR="004A177A" w:rsidRDefault="004A177A" w:rsidP="004A177A">
      <w:pPr>
        <w:pStyle w:val="ListParagraph"/>
        <w:numPr>
          <w:ilvl w:val="1"/>
          <w:numId w:val="4"/>
        </w:numPr>
      </w:pPr>
      <w:r>
        <w:rPr>
          <w:rFonts w:hint="eastAsia"/>
        </w:rPr>
        <w:t>O</w:t>
      </w:r>
      <w:r>
        <w:t>nly doxycycline, semi-synthetic tetracycline</w:t>
      </w:r>
      <w:r w:rsidR="00786F23">
        <w:t xml:space="preserve"> time-dependent</w:t>
      </w:r>
      <w:r>
        <w:t xml:space="preserve">, has been critically evaluated in vitro or in association with E. </w:t>
      </w:r>
      <w:proofErr w:type="spellStart"/>
      <w:r>
        <w:t>canis</w:t>
      </w:r>
      <w:proofErr w:type="spellEnd"/>
      <w:r>
        <w:t xml:space="preserve"> infections </w:t>
      </w:r>
    </w:p>
    <w:p w14:paraId="5C5BA0D3" w14:textId="4235AA40" w:rsidR="004A177A" w:rsidRDefault="004A177A" w:rsidP="004A177A">
      <w:pPr>
        <w:pStyle w:val="ListParagraph"/>
        <w:numPr>
          <w:ilvl w:val="1"/>
          <w:numId w:val="4"/>
        </w:numPr>
      </w:pPr>
      <w:r>
        <w:t>Consensus statement from ACVIM is doxycycline 10mg/kg PO q24 for 4 weeks</w:t>
      </w:r>
    </w:p>
    <w:p w14:paraId="417A90E7" w14:textId="1615CB0F" w:rsidR="00786F23" w:rsidRDefault="00786F23" w:rsidP="004A177A">
      <w:pPr>
        <w:pStyle w:val="ListParagraph"/>
        <w:numPr>
          <w:ilvl w:val="1"/>
          <w:numId w:val="4"/>
        </w:numPr>
      </w:pPr>
      <w:r>
        <w:t xml:space="preserve">Typically given q12, but MIC for </w:t>
      </w:r>
      <w:proofErr w:type="spellStart"/>
      <w:r>
        <w:t>E.canis</w:t>
      </w:r>
      <w:proofErr w:type="spellEnd"/>
      <w:r>
        <w:t xml:space="preserve"> so low that q24 </w:t>
      </w:r>
      <w:proofErr w:type="spellStart"/>
      <w:r>
        <w:t>adminstration</w:t>
      </w:r>
      <w:proofErr w:type="spellEnd"/>
      <w:r>
        <w:t xml:space="preserve"> still has MIC above threshold</w:t>
      </w:r>
    </w:p>
    <w:p w14:paraId="5D1BA975" w14:textId="16AD7B50" w:rsidR="00786F23" w:rsidRDefault="00786F23" w:rsidP="00786F23">
      <w:pPr>
        <w:pStyle w:val="ListParagraph"/>
        <w:numPr>
          <w:ilvl w:val="0"/>
          <w:numId w:val="4"/>
        </w:numPr>
      </w:pPr>
      <w:r>
        <w:t xml:space="preserve">Talks about experimental rifampicin potentially efficacious, </w:t>
      </w:r>
      <w:proofErr w:type="spellStart"/>
      <w:r>
        <w:t>imidocarb</w:t>
      </w:r>
      <w:proofErr w:type="spellEnd"/>
      <w:r>
        <w:t xml:space="preserve"> </w:t>
      </w:r>
      <w:proofErr w:type="spellStart"/>
      <w:r>
        <w:t>dipropionate</w:t>
      </w:r>
      <w:proofErr w:type="spellEnd"/>
      <w:r>
        <w:t xml:space="preserve"> no longer recommended, </w:t>
      </w:r>
      <w:proofErr w:type="spellStart"/>
      <w:r>
        <w:t>enrofloxacin</w:t>
      </w:r>
      <w:proofErr w:type="spellEnd"/>
      <w:r>
        <w:t xml:space="preserve"> ineffective, corticosteroids for immune-mediated cytopenias</w:t>
      </w:r>
    </w:p>
    <w:sectPr w:rsidR="00786F23" w:rsidSect="00441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C54F5"/>
    <w:multiLevelType w:val="hybridMultilevel"/>
    <w:tmpl w:val="3D16F6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057A6A"/>
    <w:multiLevelType w:val="hybridMultilevel"/>
    <w:tmpl w:val="132CD4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95E55"/>
    <w:multiLevelType w:val="hybridMultilevel"/>
    <w:tmpl w:val="749298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B1D32"/>
    <w:multiLevelType w:val="hybridMultilevel"/>
    <w:tmpl w:val="5C94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B4"/>
    <w:rsid w:val="0006399B"/>
    <w:rsid w:val="00063BDC"/>
    <w:rsid w:val="002F5DCE"/>
    <w:rsid w:val="00334349"/>
    <w:rsid w:val="00441DB4"/>
    <w:rsid w:val="004A177A"/>
    <w:rsid w:val="00560FF4"/>
    <w:rsid w:val="00786F23"/>
    <w:rsid w:val="00D01692"/>
    <w:rsid w:val="00D60934"/>
    <w:rsid w:val="00DC202C"/>
    <w:rsid w:val="00DF3F72"/>
    <w:rsid w:val="00E850D0"/>
    <w:rsid w:val="00F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4A0F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D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D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50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D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D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640</Words>
  <Characters>3648</Characters>
  <Application>Microsoft Macintosh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6</cp:revision>
  <dcterms:created xsi:type="dcterms:W3CDTF">2019-04-01T01:53:00Z</dcterms:created>
  <dcterms:modified xsi:type="dcterms:W3CDTF">2019-04-04T12:58:00Z</dcterms:modified>
</cp:coreProperties>
</file>