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D7B" w:rsidRDefault="00485170">
      <w:pPr>
        <w:rPr>
          <w:b/>
          <w:sz w:val="24"/>
          <w:szCs w:val="24"/>
        </w:rPr>
      </w:pPr>
      <w:r w:rsidRPr="005F283A">
        <w:rPr>
          <w:b/>
          <w:sz w:val="24"/>
          <w:szCs w:val="24"/>
        </w:rPr>
        <w:t>Septic Peritonitis</w:t>
      </w:r>
    </w:p>
    <w:p w:rsidR="005F283A" w:rsidRPr="005F283A" w:rsidRDefault="00014F19">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202565</wp:posOffset>
                </wp:positionV>
                <wp:extent cx="5876925" cy="19716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5876925" cy="1971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459256" id="Rectangle 5" o:spid="_x0000_s1026" style="position:absolute;margin-left:2.25pt;margin-top:15.95pt;width:462.75pt;height:15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" filled="f" strokecolor="black [3213]" strokeweight="1pt"/>
            </w:pict>
          </mc:Fallback>
        </mc:AlternateContent>
      </w:r>
    </w:p>
    <w:p w:rsidR="005F283A" w:rsidRDefault="005F283A" w:rsidP="005F283A">
      <w:pPr>
        <w:jc w:val="center"/>
        <w:rPr>
          <w:b/>
        </w:rPr>
      </w:pPr>
      <w:r w:rsidRPr="005F283A">
        <w:rPr>
          <w:b/>
        </w:rPr>
        <w:t>Key Points</w:t>
      </w:r>
    </w:p>
    <w:p w:rsidR="005F283A" w:rsidRPr="005F283A" w:rsidRDefault="005F283A" w:rsidP="005F283A">
      <w:pPr>
        <w:pStyle w:val="ListParagraph"/>
        <w:numPr>
          <w:ilvl w:val="0"/>
          <w:numId w:val="2"/>
        </w:numPr>
      </w:pPr>
      <w:r w:rsidRPr="005F283A">
        <w:t>Abdominocentesis is the preferred diagnostic method, intracellu</w:t>
      </w:r>
      <w:r w:rsidR="00014F19">
        <w:t>lar bacteria confirms diagnosis</w:t>
      </w:r>
      <w:r w:rsidRPr="005F283A">
        <w:t xml:space="preserve"> </w:t>
      </w:r>
    </w:p>
    <w:p w:rsidR="00014F19" w:rsidRDefault="00014F19" w:rsidP="00014F19">
      <w:pPr>
        <w:pStyle w:val="ListParagraph"/>
      </w:pPr>
    </w:p>
    <w:p w:rsidR="005F283A" w:rsidRDefault="007C1016" w:rsidP="005F283A">
      <w:pPr>
        <w:pStyle w:val="ListParagraph"/>
        <w:numPr>
          <w:ilvl w:val="0"/>
          <w:numId w:val="2"/>
        </w:numPr>
      </w:pPr>
      <w:r w:rsidRPr="00292D1D">
        <w:t>Peritoneal fluid analysis and identification of intracellular organisms is needed for definitive diagnosis, however there are several diagnostic tools that may be suggestive</w:t>
      </w:r>
    </w:p>
    <w:p w:rsidR="00014F19" w:rsidRDefault="00014F19" w:rsidP="00014F19">
      <w:pPr>
        <w:pStyle w:val="ListParagraph"/>
      </w:pPr>
    </w:p>
    <w:p w:rsidR="00014F19" w:rsidRDefault="00014F19" w:rsidP="005F283A">
      <w:pPr>
        <w:pStyle w:val="ListParagraph"/>
        <w:numPr>
          <w:ilvl w:val="0"/>
          <w:numId w:val="2"/>
        </w:numPr>
      </w:pPr>
      <w:r>
        <w:t xml:space="preserve">Treatment includes source control, appropriate antimicrobials and adequate stabilization </w:t>
      </w:r>
    </w:p>
    <w:p w:rsidR="00014F19" w:rsidRDefault="00014F19" w:rsidP="00014F19">
      <w:pPr>
        <w:pStyle w:val="ListParagraph"/>
      </w:pPr>
    </w:p>
    <w:p w:rsidR="00014F19" w:rsidRPr="00292D1D" w:rsidRDefault="00014F19" w:rsidP="005F283A">
      <w:pPr>
        <w:pStyle w:val="ListParagraph"/>
        <w:numPr>
          <w:ilvl w:val="0"/>
          <w:numId w:val="2"/>
        </w:numPr>
      </w:pPr>
      <w:r>
        <w:t>Prognosis for survival is 27-64% (~50%)</w:t>
      </w:r>
    </w:p>
    <w:p w:rsidR="005F283A" w:rsidRPr="005F283A" w:rsidRDefault="005F283A" w:rsidP="005F283A">
      <w:pPr>
        <w:jc w:val="center"/>
        <w:rPr>
          <w:b/>
          <w:sz w:val="24"/>
          <w:szCs w:val="24"/>
        </w:rPr>
      </w:pPr>
    </w:p>
    <w:p w:rsidR="00485170" w:rsidRDefault="00A5703B">
      <w:r w:rsidRPr="005F283A">
        <w:rPr>
          <w:b/>
        </w:rPr>
        <w:t>Peritonitis:</w:t>
      </w:r>
      <w:r>
        <w:t xml:space="preserve"> inflammation of the peritoneal cavity</w:t>
      </w:r>
    </w:p>
    <w:p w:rsidR="00A5703B" w:rsidRPr="005F283A" w:rsidRDefault="00CF4378" w:rsidP="00A5703B">
      <w:pPr>
        <w:pStyle w:val="ListParagraph"/>
        <w:numPr>
          <w:ilvl w:val="0"/>
          <w:numId w:val="1"/>
        </w:numPr>
        <w:rPr>
          <w:b/>
        </w:rPr>
      </w:pPr>
      <w:r>
        <w:rPr>
          <w:b/>
        </w:rPr>
        <w:t>Underlying cause</w:t>
      </w:r>
    </w:p>
    <w:p w:rsidR="00A5703B" w:rsidRDefault="00A5703B" w:rsidP="00A5703B">
      <w:pPr>
        <w:pStyle w:val="ListParagraph"/>
        <w:numPr>
          <w:ilvl w:val="1"/>
          <w:numId w:val="1"/>
        </w:numPr>
      </w:pPr>
      <w:r>
        <w:t xml:space="preserve">Primary: spontaneous inflammatory condition in the absence of underlying abdominal pathology or known </w:t>
      </w:r>
      <w:proofErr w:type="spellStart"/>
      <w:r>
        <w:t>hx</w:t>
      </w:r>
      <w:proofErr w:type="spellEnd"/>
      <w:r>
        <w:t xml:space="preserve"> of penetrating injury</w:t>
      </w:r>
    </w:p>
    <w:p w:rsidR="00A5703B" w:rsidRDefault="00A5703B" w:rsidP="00A5703B">
      <w:pPr>
        <w:pStyle w:val="ListParagraph"/>
        <w:numPr>
          <w:ilvl w:val="2"/>
          <w:numId w:val="1"/>
        </w:numPr>
      </w:pPr>
      <w:r>
        <w:t>FIP (coronavirus)</w:t>
      </w:r>
    </w:p>
    <w:p w:rsidR="00A5703B" w:rsidRDefault="00A5703B" w:rsidP="00A5703B">
      <w:pPr>
        <w:pStyle w:val="ListParagraph"/>
        <w:numPr>
          <w:ilvl w:val="2"/>
          <w:numId w:val="1"/>
        </w:numPr>
        <w:rPr>
          <w:i/>
        </w:rPr>
      </w:pPr>
      <w:r w:rsidRPr="00A5703B">
        <w:rPr>
          <w:i/>
        </w:rPr>
        <w:t xml:space="preserve">Salmonella typhimurium, Chlamydia </w:t>
      </w:r>
      <w:proofErr w:type="spellStart"/>
      <w:r w:rsidRPr="00A5703B">
        <w:rPr>
          <w:i/>
        </w:rPr>
        <w:t>psittaci</w:t>
      </w:r>
      <w:proofErr w:type="spellEnd"/>
      <w:r w:rsidRPr="00A5703B">
        <w:rPr>
          <w:i/>
        </w:rPr>
        <w:t xml:space="preserve">, Clostridium </w:t>
      </w:r>
      <w:proofErr w:type="spellStart"/>
      <w:r w:rsidRPr="00A5703B">
        <w:rPr>
          <w:i/>
        </w:rPr>
        <w:t>limosun</w:t>
      </w:r>
      <w:proofErr w:type="spellEnd"/>
      <w:r w:rsidRPr="00A5703B">
        <w:rPr>
          <w:i/>
        </w:rPr>
        <w:t xml:space="preserve">, </w:t>
      </w:r>
      <w:proofErr w:type="spellStart"/>
      <w:r w:rsidRPr="00A5703B">
        <w:rPr>
          <w:i/>
        </w:rPr>
        <w:t>Mesocestoides</w:t>
      </w:r>
      <w:proofErr w:type="spellEnd"/>
      <w:r w:rsidRPr="00A5703B">
        <w:rPr>
          <w:i/>
        </w:rPr>
        <w:t xml:space="preserve"> </w:t>
      </w:r>
      <w:r w:rsidRPr="00A5703B">
        <w:t>spp</w:t>
      </w:r>
      <w:r>
        <w:t>.</w:t>
      </w:r>
      <w:r w:rsidRPr="00A5703B">
        <w:rPr>
          <w:i/>
        </w:rPr>
        <w:t xml:space="preserve">, </w:t>
      </w:r>
      <w:proofErr w:type="spellStart"/>
      <w:r w:rsidRPr="00A5703B">
        <w:rPr>
          <w:i/>
        </w:rPr>
        <w:t>Bacteroides</w:t>
      </w:r>
      <w:proofErr w:type="spellEnd"/>
      <w:r w:rsidRPr="00A5703B">
        <w:rPr>
          <w:i/>
        </w:rPr>
        <w:t xml:space="preserve"> </w:t>
      </w:r>
      <w:r w:rsidRPr="00A5703B">
        <w:t>spp</w:t>
      </w:r>
      <w:r>
        <w:t>.</w:t>
      </w:r>
      <w:r w:rsidRPr="00A5703B">
        <w:rPr>
          <w:i/>
        </w:rPr>
        <w:t xml:space="preserve">, </w:t>
      </w:r>
      <w:proofErr w:type="spellStart"/>
      <w:r w:rsidRPr="00A5703B">
        <w:rPr>
          <w:i/>
        </w:rPr>
        <w:t>Actinomyces</w:t>
      </w:r>
      <w:proofErr w:type="spellEnd"/>
      <w:r w:rsidRPr="00A5703B">
        <w:rPr>
          <w:i/>
        </w:rPr>
        <w:t xml:space="preserve"> </w:t>
      </w:r>
      <w:r w:rsidRPr="00A5703B">
        <w:t>spp</w:t>
      </w:r>
      <w:r>
        <w:t>.</w:t>
      </w:r>
      <w:r w:rsidRPr="00A5703B">
        <w:rPr>
          <w:i/>
        </w:rPr>
        <w:t xml:space="preserve">, </w:t>
      </w:r>
      <w:proofErr w:type="spellStart"/>
      <w:r w:rsidRPr="00A5703B">
        <w:rPr>
          <w:i/>
        </w:rPr>
        <w:t>Blastomyces</w:t>
      </w:r>
      <w:proofErr w:type="spellEnd"/>
      <w:r w:rsidRPr="00A5703B">
        <w:rPr>
          <w:i/>
        </w:rPr>
        <w:t xml:space="preserve"> </w:t>
      </w:r>
      <w:r w:rsidRPr="00A5703B">
        <w:t>spp</w:t>
      </w:r>
      <w:r>
        <w:t>.</w:t>
      </w:r>
      <w:r w:rsidRPr="00A5703B">
        <w:rPr>
          <w:i/>
        </w:rPr>
        <w:t xml:space="preserve">, Candida </w:t>
      </w:r>
      <w:r w:rsidRPr="00A5703B">
        <w:t>spp</w:t>
      </w:r>
      <w:r w:rsidRPr="00A5703B">
        <w:rPr>
          <w:i/>
        </w:rPr>
        <w:t xml:space="preserve">., Fusobacterium </w:t>
      </w:r>
      <w:r w:rsidRPr="00A5703B">
        <w:t>spp.</w:t>
      </w:r>
      <w:r w:rsidRPr="00A5703B">
        <w:rPr>
          <w:i/>
        </w:rPr>
        <w:t xml:space="preserve"> </w:t>
      </w:r>
    </w:p>
    <w:p w:rsidR="00A5703B" w:rsidRPr="00A5703B" w:rsidRDefault="00C022FE" w:rsidP="00D70EF7">
      <w:pPr>
        <w:pStyle w:val="ListParagraph"/>
        <w:numPr>
          <w:ilvl w:val="2"/>
          <w:numId w:val="1"/>
        </w:numPr>
        <w:rPr>
          <w:i/>
        </w:rPr>
      </w:pPr>
      <w:r w:rsidRPr="00C022FE">
        <w:t>13 cats with 1ary</w:t>
      </w:r>
      <w:r>
        <w:t xml:space="preserve"> septic peritonitis</w:t>
      </w:r>
      <w:r w:rsidRPr="00C022FE">
        <w:t xml:space="preserve"> </w:t>
      </w:r>
      <w:proofErr w:type="spellStart"/>
      <w:r w:rsidRPr="00C022FE">
        <w:rPr>
          <w:i/>
        </w:rPr>
        <w:t>Bacteroides</w:t>
      </w:r>
      <w:proofErr w:type="spellEnd"/>
      <w:r>
        <w:t xml:space="preserve"> and </w:t>
      </w:r>
      <w:r w:rsidRPr="00C022FE">
        <w:rPr>
          <w:i/>
        </w:rPr>
        <w:t>Fusobacterium</w:t>
      </w:r>
      <w:r>
        <w:t xml:space="preserve"> were the most common, oral cavity bacteria may be transmitted through </w:t>
      </w:r>
      <w:proofErr w:type="spellStart"/>
      <w:r>
        <w:t>hematogenous</w:t>
      </w:r>
      <w:proofErr w:type="spellEnd"/>
      <w:r>
        <w:t xml:space="preserve"> route or unrecognized cat bites</w:t>
      </w:r>
      <w:r w:rsidR="001C0FFF">
        <w:t xml:space="preserve"> (</w:t>
      </w:r>
      <w:proofErr w:type="spellStart"/>
      <w:r w:rsidR="001C0FFF" w:rsidRPr="00A5703B">
        <w:t>Ruthrauff</w:t>
      </w:r>
      <w:proofErr w:type="spellEnd"/>
      <w:r w:rsidR="001C0FFF" w:rsidRPr="00A5703B">
        <w:t xml:space="preserve"> et al</w:t>
      </w:r>
      <w:r w:rsidR="001C0FFF">
        <w:t xml:space="preserve"> 2009)</w:t>
      </w:r>
    </w:p>
    <w:p w:rsidR="00A5703B" w:rsidRDefault="00A5703B" w:rsidP="00A5703B">
      <w:pPr>
        <w:pStyle w:val="ListParagraph"/>
        <w:numPr>
          <w:ilvl w:val="1"/>
          <w:numId w:val="1"/>
        </w:numPr>
      </w:pPr>
      <w:r>
        <w:t>Secondary: due to a preexisting aseptic or septic pathologic intraabdominal condition</w:t>
      </w:r>
    </w:p>
    <w:p w:rsidR="00C022FE" w:rsidRDefault="00C022FE" w:rsidP="00C022FE">
      <w:pPr>
        <w:pStyle w:val="ListParagraph"/>
        <w:numPr>
          <w:ilvl w:val="2"/>
          <w:numId w:val="1"/>
        </w:numPr>
      </w:pPr>
      <w:r>
        <w:t>Most commonly due to GI leakage</w:t>
      </w:r>
    </w:p>
    <w:p w:rsidR="00C022FE" w:rsidRPr="001C0FFF" w:rsidRDefault="00C022FE" w:rsidP="00C022FE">
      <w:pPr>
        <w:pStyle w:val="ListParagraph"/>
        <w:numPr>
          <w:ilvl w:val="3"/>
          <w:numId w:val="1"/>
        </w:numPr>
        <w:rPr>
          <w:lang w:val="es-CL"/>
        </w:rPr>
      </w:pPr>
      <w:r w:rsidRPr="001C0FFF">
        <w:rPr>
          <w:lang w:val="es-CL"/>
        </w:rPr>
        <w:t xml:space="preserve">25% </w:t>
      </w:r>
      <w:proofErr w:type="spellStart"/>
      <w:r w:rsidRPr="001C0FFF">
        <w:rPr>
          <w:lang w:val="es-CL"/>
        </w:rPr>
        <w:t>cats</w:t>
      </w:r>
      <w:proofErr w:type="spellEnd"/>
      <w:r w:rsidRPr="001C0FFF">
        <w:rPr>
          <w:lang w:val="es-CL"/>
        </w:rPr>
        <w:t xml:space="preserve"> </w:t>
      </w:r>
      <w:proofErr w:type="spellStart"/>
      <w:r w:rsidRPr="001C0FFF">
        <w:rPr>
          <w:lang w:val="es-CL"/>
        </w:rPr>
        <w:t>due</w:t>
      </w:r>
      <w:proofErr w:type="spellEnd"/>
      <w:r w:rsidRPr="001C0FFF">
        <w:rPr>
          <w:lang w:val="es-CL"/>
        </w:rPr>
        <w:t xml:space="preserve"> to neoplasia (adenocarcinoma, </w:t>
      </w:r>
      <w:proofErr w:type="spellStart"/>
      <w:r w:rsidRPr="001C0FFF">
        <w:rPr>
          <w:lang w:val="es-CL"/>
        </w:rPr>
        <w:t>lymphosarcoma</w:t>
      </w:r>
      <w:proofErr w:type="spellEnd"/>
      <w:r w:rsidRPr="001C0FFF">
        <w:rPr>
          <w:lang w:val="es-CL"/>
        </w:rPr>
        <w:t xml:space="preserve">) </w:t>
      </w:r>
      <w:r w:rsidR="001C0FFF" w:rsidRPr="001C0FFF">
        <w:rPr>
          <w:lang w:val="es-CL"/>
        </w:rPr>
        <w:t>(</w:t>
      </w:r>
      <w:proofErr w:type="spellStart"/>
      <w:r w:rsidR="001C0FFF" w:rsidRPr="001C0FFF">
        <w:rPr>
          <w:lang w:val="es-CL"/>
        </w:rPr>
        <w:t>Costello</w:t>
      </w:r>
      <w:proofErr w:type="spellEnd"/>
      <w:r w:rsidR="001C0FFF" w:rsidRPr="001C0FFF">
        <w:rPr>
          <w:lang w:val="es-CL"/>
        </w:rPr>
        <w:t xml:space="preserve"> et al 2004)</w:t>
      </w:r>
    </w:p>
    <w:p w:rsidR="00C022FE" w:rsidRDefault="001C0FFF" w:rsidP="00C022FE">
      <w:pPr>
        <w:pStyle w:val="ListParagraph"/>
        <w:numPr>
          <w:ilvl w:val="3"/>
          <w:numId w:val="1"/>
        </w:numPr>
      </w:pPr>
      <w:r>
        <w:t>6-16% dehiscence</w:t>
      </w:r>
      <w:r w:rsidR="00C022FE">
        <w:t xml:space="preserve"> after </w:t>
      </w:r>
      <w:proofErr w:type="spellStart"/>
      <w:r w:rsidR="00C022FE">
        <w:t>enterotomy</w:t>
      </w:r>
      <w:proofErr w:type="spellEnd"/>
      <w:r w:rsidR="00C022FE">
        <w:t xml:space="preserve"> or </w:t>
      </w:r>
      <w:proofErr w:type="spellStart"/>
      <w:r w:rsidR="00C022FE">
        <w:t>RnA</w:t>
      </w:r>
      <w:proofErr w:type="spellEnd"/>
    </w:p>
    <w:p w:rsidR="00C022FE" w:rsidRDefault="001C0FFF" w:rsidP="00C022FE">
      <w:pPr>
        <w:pStyle w:val="ListParagraph"/>
        <w:numPr>
          <w:ilvl w:val="4"/>
          <w:numId w:val="1"/>
        </w:numPr>
      </w:pPr>
      <w:r>
        <w:t xml:space="preserve">Preoperative peritonitis, intestinal fb and albumin </w:t>
      </w:r>
      <w:r>
        <w:rPr>
          <w:rFonts w:cstheme="minorHAnsi"/>
        </w:rPr>
        <w:t>≤</w:t>
      </w:r>
      <w:r>
        <w:t xml:space="preserve"> 2.5 g/</w:t>
      </w:r>
      <w:proofErr w:type="spellStart"/>
      <w:r>
        <w:t>dL</w:t>
      </w:r>
      <w:proofErr w:type="spellEnd"/>
      <w:r>
        <w:t xml:space="preserve"> had i</w:t>
      </w:r>
      <w:r w:rsidR="00C022FE">
        <w:t xml:space="preserve">ncreased risk for </w:t>
      </w:r>
      <w:r>
        <w:t>dehiscence (Ralph et al 2003)</w:t>
      </w:r>
    </w:p>
    <w:p w:rsidR="001C0FFF" w:rsidRDefault="001C0FFF" w:rsidP="00C022FE">
      <w:pPr>
        <w:pStyle w:val="ListParagraph"/>
        <w:numPr>
          <w:ilvl w:val="4"/>
          <w:numId w:val="1"/>
        </w:numPr>
      </w:pPr>
      <w:r>
        <w:t>Hypotension was also noted as a risk factor for septic peritonitis, presence of fb was found to be protective (</w:t>
      </w:r>
      <w:r w:rsidR="005041E8">
        <w:t>4/28 had fb, low n?) (Grimes et al 2011)</w:t>
      </w:r>
    </w:p>
    <w:p w:rsidR="00C022FE" w:rsidRDefault="00C022FE" w:rsidP="00C022FE">
      <w:pPr>
        <w:pStyle w:val="ListParagraph"/>
        <w:numPr>
          <w:ilvl w:val="3"/>
          <w:numId w:val="1"/>
        </w:numPr>
      </w:pPr>
      <w:r>
        <w:t>41% of linear FB in dogs have GI leakage</w:t>
      </w:r>
    </w:p>
    <w:p w:rsidR="00814113" w:rsidRDefault="00814113" w:rsidP="00814113">
      <w:pPr>
        <w:pStyle w:val="ListParagraph"/>
        <w:numPr>
          <w:ilvl w:val="2"/>
          <w:numId w:val="1"/>
        </w:numPr>
      </w:pPr>
      <w:r>
        <w:t xml:space="preserve">Can also be due to pancreatitis, hepatobiliary disease, trauma, </w:t>
      </w:r>
      <w:proofErr w:type="spellStart"/>
      <w:r>
        <w:t>hemolymphatic</w:t>
      </w:r>
      <w:proofErr w:type="spellEnd"/>
      <w:r>
        <w:t xml:space="preserve"> conditions, sterile uroabdomen, neoplasia, etc.</w:t>
      </w:r>
    </w:p>
    <w:p w:rsidR="007C1016" w:rsidRPr="00014F19" w:rsidRDefault="007C1016" w:rsidP="007C1016">
      <w:pPr>
        <w:pStyle w:val="ListParagraph"/>
        <w:numPr>
          <w:ilvl w:val="1"/>
          <w:numId w:val="1"/>
        </w:numPr>
      </w:pPr>
      <w:r w:rsidRPr="00014F19">
        <w:t>Tertiary: recurrent peritonitis after an episode of 1ary or 2ary peritonitis</w:t>
      </w:r>
    </w:p>
    <w:p w:rsidR="00A5703B" w:rsidRPr="005F283A" w:rsidRDefault="00CF4378" w:rsidP="00A5703B">
      <w:pPr>
        <w:pStyle w:val="ListParagraph"/>
        <w:numPr>
          <w:ilvl w:val="0"/>
          <w:numId w:val="1"/>
        </w:numPr>
        <w:rPr>
          <w:b/>
        </w:rPr>
      </w:pPr>
      <w:r>
        <w:rPr>
          <w:b/>
        </w:rPr>
        <w:t>Extent</w:t>
      </w:r>
    </w:p>
    <w:p w:rsidR="00A5703B" w:rsidRDefault="00A5703B" w:rsidP="00A5703B">
      <w:pPr>
        <w:pStyle w:val="ListParagraph"/>
        <w:numPr>
          <w:ilvl w:val="1"/>
          <w:numId w:val="1"/>
        </w:numPr>
      </w:pPr>
      <w:r>
        <w:t xml:space="preserve">Localized </w:t>
      </w:r>
    </w:p>
    <w:p w:rsidR="00A5703B" w:rsidRDefault="00A5703B" w:rsidP="00A5703B">
      <w:pPr>
        <w:pStyle w:val="ListParagraph"/>
        <w:numPr>
          <w:ilvl w:val="1"/>
          <w:numId w:val="1"/>
        </w:numPr>
      </w:pPr>
      <w:r>
        <w:t>Generalized</w:t>
      </w:r>
    </w:p>
    <w:p w:rsidR="00A5703B" w:rsidRPr="005F283A" w:rsidRDefault="00CF4378" w:rsidP="00A5703B">
      <w:pPr>
        <w:pStyle w:val="ListParagraph"/>
        <w:numPr>
          <w:ilvl w:val="0"/>
          <w:numId w:val="1"/>
        </w:numPr>
        <w:rPr>
          <w:b/>
        </w:rPr>
      </w:pPr>
      <w:r>
        <w:rPr>
          <w:b/>
        </w:rPr>
        <w:lastRenderedPageBreak/>
        <w:t>Presence of infectious agents</w:t>
      </w:r>
    </w:p>
    <w:p w:rsidR="00A5703B" w:rsidRDefault="00A5703B" w:rsidP="00A5703B">
      <w:pPr>
        <w:pStyle w:val="ListParagraph"/>
        <w:numPr>
          <w:ilvl w:val="1"/>
          <w:numId w:val="1"/>
        </w:numPr>
      </w:pPr>
      <w:r>
        <w:t>Septic</w:t>
      </w:r>
    </w:p>
    <w:p w:rsidR="00A5703B" w:rsidRDefault="00A5703B" w:rsidP="00A5703B">
      <w:pPr>
        <w:pStyle w:val="ListParagraph"/>
        <w:numPr>
          <w:ilvl w:val="1"/>
          <w:numId w:val="1"/>
        </w:numPr>
      </w:pPr>
      <w:r>
        <w:t>Non-septic</w:t>
      </w:r>
    </w:p>
    <w:p w:rsidR="005B6F65" w:rsidRDefault="005B6F65" w:rsidP="005B6F65"/>
    <w:p w:rsidR="005B6F65" w:rsidRPr="005B6F65" w:rsidRDefault="00CF4378" w:rsidP="005B6F65">
      <w:pPr>
        <w:rPr>
          <w:b/>
        </w:rPr>
      </w:pPr>
      <w:r>
        <w:rPr>
          <w:b/>
        </w:rPr>
        <w:t>Clinical Signs</w:t>
      </w:r>
    </w:p>
    <w:p w:rsidR="005B6F65" w:rsidRPr="005B6F65" w:rsidRDefault="005B6F65" w:rsidP="005B6F65">
      <w:pPr>
        <w:pStyle w:val="ListParagraph"/>
        <w:numPr>
          <w:ilvl w:val="0"/>
          <w:numId w:val="3"/>
        </w:numPr>
        <w:rPr>
          <w:b/>
        </w:rPr>
      </w:pPr>
      <w:r w:rsidRPr="005B6F65">
        <w:rPr>
          <w:b/>
        </w:rPr>
        <w:t>History:</w:t>
      </w:r>
    </w:p>
    <w:p w:rsidR="005B6F65" w:rsidRDefault="005B6F65" w:rsidP="005B6F65">
      <w:pPr>
        <w:pStyle w:val="ListParagraph"/>
        <w:numPr>
          <w:ilvl w:val="1"/>
          <w:numId w:val="3"/>
        </w:numPr>
      </w:pPr>
      <w:r>
        <w:t>Medical and surgical history</w:t>
      </w:r>
    </w:p>
    <w:p w:rsidR="005B6F65" w:rsidRDefault="005B6F65" w:rsidP="005B6F65">
      <w:pPr>
        <w:pStyle w:val="ListParagraph"/>
        <w:numPr>
          <w:ilvl w:val="1"/>
          <w:numId w:val="3"/>
        </w:numPr>
      </w:pPr>
      <w:r>
        <w:t>Medications that may predispose to ulceration</w:t>
      </w:r>
    </w:p>
    <w:p w:rsidR="005B6F65" w:rsidRDefault="005B6F65" w:rsidP="005B6F65">
      <w:pPr>
        <w:pStyle w:val="ListParagraph"/>
        <w:numPr>
          <w:ilvl w:val="1"/>
          <w:numId w:val="3"/>
        </w:numPr>
      </w:pPr>
      <w:r>
        <w:t>Duration of clinical signs</w:t>
      </w:r>
    </w:p>
    <w:p w:rsidR="005B6F65" w:rsidRDefault="005B6F65" w:rsidP="005B6F65">
      <w:pPr>
        <w:pStyle w:val="ListParagraph"/>
        <w:numPr>
          <w:ilvl w:val="1"/>
          <w:numId w:val="3"/>
        </w:numPr>
      </w:pPr>
      <w:r>
        <w:t>History of trauma or FB ingestion</w:t>
      </w:r>
    </w:p>
    <w:p w:rsidR="005B6F65" w:rsidRPr="005B6F65" w:rsidRDefault="005B6F65" w:rsidP="005B6F65">
      <w:pPr>
        <w:pStyle w:val="ListParagraph"/>
        <w:numPr>
          <w:ilvl w:val="0"/>
          <w:numId w:val="3"/>
        </w:numPr>
        <w:rPr>
          <w:b/>
        </w:rPr>
      </w:pPr>
      <w:r w:rsidRPr="005B6F65">
        <w:rPr>
          <w:b/>
        </w:rPr>
        <w:t>Physical</w:t>
      </w:r>
      <w:r w:rsidR="005A4D03">
        <w:rPr>
          <w:b/>
        </w:rPr>
        <w:t xml:space="preserve"> Exam</w:t>
      </w:r>
      <w:r w:rsidRPr="005B6F65">
        <w:rPr>
          <w:b/>
        </w:rPr>
        <w:t>:</w:t>
      </w:r>
    </w:p>
    <w:p w:rsidR="005B6F65" w:rsidRDefault="005A4D03" w:rsidP="005B6F65">
      <w:pPr>
        <w:pStyle w:val="ListParagraph"/>
        <w:numPr>
          <w:ilvl w:val="1"/>
          <w:numId w:val="3"/>
        </w:numPr>
      </w:pPr>
      <w:r>
        <w:t>Clinical signs v</w:t>
      </w:r>
      <w:r w:rsidR="005B6F65">
        <w:t>ary in type and intensity</w:t>
      </w:r>
    </w:p>
    <w:p w:rsidR="005B6F65" w:rsidRDefault="005B6F65" w:rsidP="005B6F65">
      <w:pPr>
        <w:pStyle w:val="ListParagraph"/>
        <w:numPr>
          <w:ilvl w:val="1"/>
          <w:numId w:val="3"/>
        </w:numPr>
      </w:pPr>
      <w:r>
        <w:t>Abdominal effusion may not be present if dehydrated</w:t>
      </w:r>
    </w:p>
    <w:p w:rsidR="005B6F65" w:rsidRDefault="005B6F65" w:rsidP="005B6F65">
      <w:pPr>
        <w:pStyle w:val="ListParagraph"/>
        <w:numPr>
          <w:ilvl w:val="1"/>
          <w:numId w:val="3"/>
        </w:numPr>
      </w:pPr>
      <w:r>
        <w:t>Abdominal pain varies, praying position may be seen, 38-62% cats have abdominal pain</w:t>
      </w:r>
    </w:p>
    <w:p w:rsidR="005B6F65" w:rsidRDefault="005B6F65" w:rsidP="005B6F65">
      <w:pPr>
        <w:pStyle w:val="ListParagraph"/>
        <w:ind w:left="1440"/>
      </w:pPr>
    </w:p>
    <w:p w:rsidR="005B6F65" w:rsidRDefault="00CF4378" w:rsidP="005B6F65">
      <w:pPr>
        <w:rPr>
          <w:b/>
        </w:rPr>
      </w:pPr>
      <w:r>
        <w:rPr>
          <w:b/>
        </w:rPr>
        <w:t>Diagnostic Tests</w:t>
      </w:r>
    </w:p>
    <w:p w:rsidR="00262AFC" w:rsidRPr="00262AFC" w:rsidRDefault="00262AFC" w:rsidP="00262AFC">
      <w:pPr>
        <w:pStyle w:val="ListParagraph"/>
        <w:numPr>
          <w:ilvl w:val="0"/>
          <w:numId w:val="5"/>
        </w:numPr>
        <w:rPr>
          <w:b/>
        </w:rPr>
      </w:pPr>
      <w:r>
        <w:rPr>
          <w:b/>
        </w:rPr>
        <w:t xml:space="preserve">Gold standard: </w:t>
      </w:r>
      <w:r w:rsidRPr="00262AFC">
        <w:t>Intracellular bacteria on peritoneal effusion cytology</w:t>
      </w:r>
    </w:p>
    <w:p w:rsidR="00262AFC" w:rsidRDefault="00262AFC" w:rsidP="00262AFC">
      <w:pPr>
        <w:pStyle w:val="ListParagraph"/>
        <w:numPr>
          <w:ilvl w:val="1"/>
          <w:numId w:val="5"/>
        </w:numPr>
      </w:pPr>
      <w:r w:rsidRPr="00814113">
        <w:t xml:space="preserve">Affected by </w:t>
      </w:r>
      <w:r w:rsidR="00814113" w:rsidRPr="00814113">
        <w:t>clinical course, antimicrobial administration, location of the peritonitis (</w:t>
      </w:r>
      <w:proofErr w:type="spellStart"/>
      <w:r w:rsidR="00814113" w:rsidRPr="00814113">
        <w:t>ie</w:t>
      </w:r>
      <w:proofErr w:type="spellEnd"/>
      <w:r w:rsidR="00814113" w:rsidRPr="00814113">
        <w:t xml:space="preserve">: gastric vs small </w:t>
      </w:r>
      <w:proofErr w:type="spellStart"/>
      <w:r w:rsidR="00814113" w:rsidRPr="00814113">
        <w:t>int</w:t>
      </w:r>
      <w:proofErr w:type="spellEnd"/>
      <w:r w:rsidR="00814113" w:rsidRPr="00814113">
        <w:t>)</w:t>
      </w:r>
      <w:r w:rsidR="00814113">
        <w:t>, hydration status, technical expertise</w:t>
      </w:r>
      <w:r w:rsidR="000373A6">
        <w:t>,</w:t>
      </w:r>
      <w:r w:rsidR="00D70B19">
        <w:t xml:space="preserve"> cytology is diagnostic in 86% of cases</w:t>
      </w:r>
    </w:p>
    <w:p w:rsidR="007C1016" w:rsidRDefault="007C1016" w:rsidP="00262AFC">
      <w:pPr>
        <w:pStyle w:val="ListParagraph"/>
        <w:numPr>
          <w:ilvl w:val="1"/>
          <w:numId w:val="5"/>
        </w:numPr>
      </w:pPr>
      <w:proofErr w:type="spellStart"/>
      <w:r>
        <w:t>Intracell</w:t>
      </w:r>
      <w:proofErr w:type="spellEnd"/>
      <w:r>
        <w:t xml:space="preserve"> bacteria makes neutrophils heavier, hence spun down samples and looking on feather edge may increase </w:t>
      </w:r>
    </w:p>
    <w:p w:rsidR="00DA1C10" w:rsidRDefault="00DA1C10" w:rsidP="00262AFC">
      <w:pPr>
        <w:pStyle w:val="ListParagraph"/>
        <w:numPr>
          <w:ilvl w:val="1"/>
          <w:numId w:val="5"/>
        </w:numPr>
      </w:pPr>
      <w:r>
        <w:t xml:space="preserve">Single, blind </w:t>
      </w:r>
      <w:proofErr w:type="spellStart"/>
      <w:r>
        <w:t>abdominocentesis</w:t>
      </w:r>
      <w:proofErr w:type="spellEnd"/>
      <w:r>
        <w:t xml:space="preserve"> attempts are only successful in 20% in low volume effusions (3 ml/kg) and in 80% in high volume effusions (10 ml/kg), use 4 quadrant technique or </w:t>
      </w:r>
      <w:proofErr w:type="spellStart"/>
      <w:r>
        <w:t>aFAST</w:t>
      </w:r>
      <w:proofErr w:type="spellEnd"/>
      <w:r>
        <w:t xml:space="preserve"> to guide</w:t>
      </w:r>
    </w:p>
    <w:p w:rsidR="00DA1C10" w:rsidRDefault="00DA1C10" w:rsidP="00262AFC">
      <w:pPr>
        <w:pStyle w:val="ListParagraph"/>
        <w:numPr>
          <w:ilvl w:val="1"/>
          <w:numId w:val="5"/>
        </w:numPr>
      </w:pPr>
      <w:r>
        <w:t>Diagnostic peritoneal lavage</w:t>
      </w:r>
      <w:r w:rsidR="009C75F9">
        <w:t>: large bore over-the-</w:t>
      </w:r>
      <w:r w:rsidR="00FB703D">
        <w:t xml:space="preserve">needle catheter, 22 ml/kg  of warm isotonic saline, </w:t>
      </w:r>
      <w:r w:rsidR="009C75F9">
        <w:t>massage abdomen then retrieve</w:t>
      </w:r>
      <w:r w:rsidR="00FB703D">
        <w:t xml:space="preserve"> the sample</w:t>
      </w:r>
      <w:r w:rsidR="009C75F9">
        <w:t>, cell counts will be inaccurate due to dilution</w:t>
      </w:r>
    </w:p>
    <w:p w:rsidR="000373A6" w:rsidRDefault="000373A6" w:rsidP="000373A6">
      <w:pPr>
        <w:pStyle w:val="ListParagraph"/>
        <w:numPr>
          <w:ilvl w:val="2"/>
          <w:numId w:val="5"/>
        </w:numPr>
      </w:pPr>
      <w:r>
        <w:t>DPL had a 94.6% accuracy rate compared to 50% for blind needle paracentesis, complication rates are 4.7% (splenic lac, urinary bladder rupture) (Crowe et al 1984)</w:t>
      </w:r>
    </w:p>
    <w:p w:rsidR="001A350E" w:rsidRPr="00814113" w:rsidRDefault="001A350E" w:rsidP="00262AFC">
      <w:pPr>
        <w:pStyle w:val="ListParagraph"/>
        <w:numPr>
          <w:ilvl w:val="1"/>
          <w:numId w:val="5"/>
        </w:numPr>
      </w:pPr>
      <w:r>
        <w:t>Cultures should be submitted</w:t>
      </w:r>
    </w:p>
    <w:p w:rsidR="005B6F65" w:rsidRPr="0061688D" w:rsidRDefault="009B6C24" w:rsidP="009B6C24">
      <w:pPr>
        <w:pStyle w:val="ListParagraph"/>
        <w:numPr>
          <w:ilvl w:val="0"/>
          <w:numId w:val="4"/>
        </w:numPr>
        <w:rPr>
          <w:b/>
        </w:rPr>
      </w:pPr>
      <w:r w:rsidRPr="0061688D">
        <w:rPr>
          <w:b/>
        </w:rPr>
        <w:t>CBC</w:t>
      </w:r>
    </w:p>
    <w:p w:rsidR="005E011C" w:rsidRDefault="005E011C" w:rsidP="005E011C">
      <w:pPr>
        <w:pStyle w:val="ListParagraph"/>
        <w:numPr>
          <w:ilvl w:val="1"/>
          <w:numId w:val="4"/>
        </w:numPr>
      </w:pPr>
      <w:r>
        <w:t>Marked neutrophilia w/ left shift is most common, although normal to low neutrophil count is possible</w:t>
      </w:r>
    </w:p>
    <w:p w:rsidR="009B6C24" w:rsidRPr="0061688D" w:rsidRDefault="005E011C" w:rsidP="009B6C24">
      <w:pPr>
        <w:pStyle w:val="ListParagraph"/>
        <w:numPr>
          <w:ilvl w:val="0"/>
          <w:numId w:val="4"/>
        </w:numPr>
        <w:rPr>
          <w:b/>
        </w:rPr>
      </w:pPr>
      <w:r w:rsidRPr="0061688D">
        <w:rPr>
          <w:b/>
        </w:rPr>
        <w:t>Chemistry</w:t>
      </w:r>
    </w:p>
    <w:p w:rsidR="005E011C" w:rsidRDefault="005E011C" w:rsidP="005E011C">
      <w:pPr>
        <w:pStyle w:val="ListParagraph"/>
        <w:numPr>
          <w:ilvl w:val="1"/>
          <w:numId w:val="4"/>
        </w:numPr>
      </w:pPr>
      <w:r>
        <w:t xml:space="preserve">Hyperkalemia and azotemia may be seen from </w:t>
      </w:r>
      <w:proofErr w:type="spellStart"/>
      <w:r>
        <w:t>uroperitoneum</w:t>
      </w:r>
      <w:proofErr w:type="spellEnd"/>
      <w:r>
        <w:t xml:space="preserve"> </w:t>
      </w:r>
    </w:p>
    <w:p w:rsidR="005E011C" w:rsidRDefault="005E011C" w:rsidP="005E011C">
      <w:pPr>
        <w:pStyle w:val="ListParagraph"/>
        <w:numPr>
          <w:ilvl w:val="1"/>
          <w:numId w:val="4"/>
        </w:numPr>
      </w:pPr>
      <w:r>
        <w:t>Hypoproteinemia is common due to protein loss within the peritoneal cavity</w:t>
      </w:r>
    </w:p>
    <w:p w:rsidR="005E011C" w:rsidRDefault="005E011C" w:rsidP="005E011C">
      <w:pPr>
        <w:pStyle w:val="ListParagraph"/>
        <w:numPr>
          <w:ilvl w:val="1"/>
          <w:numId w:val="4"/>
        </w:numPr>
      </w:pPr>
      <w:r>
        <w:t>Hypoglycemia is common</w:t>
      </w:r>
    </w:p>
    <w:p w:rsidR="005E011C" w:rsidRDefault="005E011C" w:rsidP="005E011C">
      <w:pPr>
        <w:pStyle w:val="ListParagraph"/>
        <w:numPr>
          <w:ilvl w:val="1"/>
          <w:numId w:val="4"/>
        </w:numPr>
      </w:pPr>
      <w:proofErr w:type="spellStart"/>
      <w:r>
        <w:t>Hyperbillirubinemia</w:t>
      </w:r>
      <w:proofErr w:type="spellEnd"/>
      <w:r>
        <w:t xml:space="preserve"> may be due to bile peritonitis or cholestasis of sepsis</w:t>
      </w:r>
    </w:p>
    <w:p w:rsidR="005E011C" w:rsidRDefault="005E011C" w:rsidP="005E011C">
      <w:pPr>
        <w:pStyle w:val="ListParagraph"/>
        <w:numPr>
          <w:ilvl w:val="1"/>
          <w:numId w:val="4"/>
        </w:numPr>
      </w:pPr>
      <w:r>
        <w:t>Elevated liver and kidney values are common in sepsis</w:t>
      </w:r>
    </w:p>
    <w:p w:rsidR="005E011C" w:rsidRDefault="005E011C" w:rsidP="005E011C">
      <w:pPr>
        <w:pStyle w:val="ListParagraph"/>
        <w:numPr>
          <w:ilvl w:val="1"/>
          <w:numId w:val="4"/>
        </w:numPr>
      </w:pPr>
      <w:r>
        <w:lastRenderedPageBreak/>
        <w:t>Hypocalcemia is prevalent (89% at intake, 93% during hospitalization in cats) and failure to normalize during hospitalization is associated with a negative prognosis in cats with septic peritonitis (</w:t>
      </w:r>
      <w:proofErr w:type="spellStart"/>
      <w:r>
        <w:t>Kellett</w:t>
      </w:r>
      <w:proofErr w:type="spellEnd"/>
      <w:r w:rsidR="001D6B23">
        <w:t>-Gregory et al</w:t>
      </w:r>
      <w:r>
        <w:t xml:space="preserve"> 2010)</w:t>
      </w:r>
    </w:p>
    <w:p w:rsidR="005E011C" w:rsidRPr="001D6B23" w:rsidRDefault="005E011C" w:rsidP="005E011C">
      <w:pPr>
        <w:pStyle w:val="ListParagraph"/>
        <w:numPr>
          <w:ilvl w:val="2"/>
          <w:numId w:val="4"/>
        </w:numPr>
      </w:pPr>
      <w:r>
        <w:rPr>
          <w:lang w:val="en"/>
        </w:rPr>
        <w:t>H</w:t>
      </w:r>
      <w:r>
        <w:rPr>
          <w:lang w:val="en"/>
        </w:rPr>
        <w:t>igher</w:t>
      </w:r>
      <w:r>
        <w:rPr>
          <w:lang w:val="en"/>
        </w:rPr>
        <w:t xml:space="preserve"> prevalence</w:t>
      </w:r>
      <w:r>
        <w:rPr>
          <w:lang w:val="en"/>
        </w:rPr>
        <w:t xml:space="preserve"> than previously described in </w:t>
      </w:r>
      <w:r>
        <w:rPr>
          <w:lang w:val="en"/>
        </w:rPr>
        <w:t>(</w:t>
      </w:r>
      <w:proofErr w:type="spellStart"/>
      <w:r>
        <w:rPr>
          <w:lang w:val="en"/>
        </w:rPr>
        <w:t>Holowaychu</w:t>
      </w:r>
      <w:r w:rsidR="001D6B23">
        <w:rPr>
          <w:lang w:val="en"/>
        </w:rPr>
        <w:t>k</w:t>
      </w:r>
      <w:proofErr w:type="spellEnd"/>
      <w:r w:rsidR="001D6B23">
        <w:rPr>
          <w:lang w:val="en"/>
        </w:rPr>
        <w:t xml:space="preserve"> et al 2009),</w:t>
      </w:r>
      <w:r>
        <w:rPr>
          <w:lang w:val="en"/>
        </w:rPr>
        <w:t xml:space="preserve"> 16% of critically ill dogs and 25% of dogs w</w:t>
      </w:r>
      <w:r w:rsidR="001D6B23">
        <w:rPr>
          <w:lang w:val="en"/>
        </w:rPr>
        <w:t>ith sepsis</w:t>
      </w:r>
      <w:r>
        <w:rPr>
          <w:lang w:val="en"/>
        </w:rPr>
        <w:t xml:space="preserve"> have </w:t>
      </w:r>
      <w:proofErr w:type="spellStart"/>
      <w:r>
        <w:rPr>
          <w:lang w:val="en"/>
        </w:rPr>
        <w:t>iHCa</w:t>
      </w:r>
      <w:proofErr w:type="spellEnd"/>
      <w:r w:rsidR="001D6B23">
        <w:rPr>
          <w:lang w:val="en"/>
        </w:rPr>
        <w:t>, (</w:t>
      </w:r>
      <w:proofErr w:type="spellStart"/>
      <w:r w:rsidR="001D6B23">
        <w:rPr>
          <w:lang w:val="en"/>
        </w:rPr>
        <w:t>Luschini</w:t>
      </w:r>
      <w:proofErr w:type="spellEnd"/>
      <w:r w:rsidR="001D6B23">
        <w:rPr>
          <w:lang w:val="en"/>
        </w:rPr>
        <w:t xml:space="preserve"> et al 2010) 24% incidence in dogs with sepsis</w:t>
      </w:r>
    </w:p>
    <w:p w:rsidR="009B6C24" w:rsidRDefault="001D6B23" w:rsidP="009B6C24">
      <w:pPr>
        <w:pStyle w:val="ListParagraph"/>
        <w:numPr>
          <w:ilvl w:val="0"/>
          <w:numId w:val="4"/>
        </w:numPr>
      </w:pPr>
      <w:r w:rsidRPr="0061688D">
        <w:rPr>
          <w:b/>
        </w:rPr>
        <w:t>Coagulation status</w:t>
      </w:r>
      <w:r>
        <w:t xml:space="preserve"> (Bentley et al 2013</w:t>
      </w:r>
      <w:r w:rsidR="00575260">
        <w:t>, 27 dogs with septic peritonitis, pre-op samples</w:t>
      </w:r>
      <w:r>
        <w:t>)</w:t>
      </w:r>
    </w:p>
    <w:p w:rsidR="002217D0" w:rsidRDefault="002217D0" w:rsidP="00575260">
      <w:pPr>
        <w:pStyle w:val="ListParagraph"/>
        <w:numPr>
          <w:ilvl w:val="1"/>
          <w:numId w:val="4"/>
        </w:numPr>
      </w:pPr>
      <w:r>
        <w:t>P</w:t>
      </w:r>
      <w:r w:rsidR="001D6B23">
        <w:t xml:space="preserve">rotein C </w:t>
      </w:r>
      <w:r>
        <w:t xml:space="preserve">deficiency </w:t>
      </w:r>
      <w:r w:rsidR="001D6B23">
        <w:t>in 91% non survivors and 13% survivors</w:t>
      </w:r>
    </w:p>
    <w:p w:rsidR="001D6B23" w:rsidRDefault="001D6B23" w:rsidP="00575260">
      <w:pPr>
        <w:pStyle w:val="ListParagraph"/>
        <w:numPr>
          <w:ilvl w:val="1"/>
          <w:numId w:val="4"/>
        </w:numPr>
      </w:pPr>
      <w:proofErr w:type="spellStart"/>
      <w:r>
        <w:t>Antithrombin</w:t>
      </w:r>
      <w:proofErr w:type="spellEnd"/>
      <w:r>
        <w:t xml:space="preserve"> deficiency in 91% non survivors and 93% survivors</w:t>
      </w:r>
    </w:p>
    <w:p w:rsidR="002217D0" w:rsidRDefault="002217D0" w:rsidP="00575260">
      <w:pPr>
        <w:pStyle w:val="ListParagraph"/>
        <w:numPr>
          <w:ilvl w:val="1"/>
          <w:numId w:val="4"/>
        </w:numPr>
      </w:pPr>
      <w:r>
        <w:t>TEG – normal to hypercoagulable, MA specific predictor of survival</w:t>
      </w:r>
    </w:p>
    <w:p w:rsidR="00485170" w:rsidRDefault="002217D0" w:rsidP="00575260">
      <w:pPr>
        <w:pStyle w:val="ListParagraph"/>
        <w:numPr>
          <w:ilvl w:val="1"/>
          <w:numId w:val="4"/>
        </w:numPr>
      </w:pPr>
      <w:r>
        <w:t xml:space="preserve">PT, </w:t>
      </w:r>
      <w:proofErr w:type="spellStart"/>
      <w:r>
        <w:t>aPTT</w:t>
      </w:r>
      <w:proofErr w:type="spellEnd"/>
      <w:r>
        <w:t xml:space="preserve"> and platelet count are not useful to predict survival</w:t>
      </w:r>
      <w:r w:rsidR="00292D1D">
        <w:t>, however are frequently affected</w:t>
      </w:r>
    </w:p>
    <w:p w:rsidR="00B45E5F" w:rsidRDefault="00B45E5F" w:rsidP="00575260">
      <w:pPr>
        <w:pStyle w:val="ListParagraph"/>
        <w:numPr>
          <w:ilvl w:val="1"/>
          <w:numId w:val="4"/>
        </w:numPr>
      </w:pPr>
      <w:proofErr w:type="spellStart"/>
      <w:r>
        <w:t>Thrombocytopathia</w:t>
      </w:r>
      <w:proofErr w:type="spellEnd"/>
      <w:r>
        <w:t xml:space="preserve"> may occur (Li et al 2017)</w:t>
      </w:r>
    </w:p>
    <w:p w:rsidR="00575260" w:rsidRDefault="00575260" w:rsidP="00575260">
      <w:pPr>
        <w:pStyle w:val="ListParagraph"/>
        <w:numPr>
          <w:ilvl w:val="0"/>
          <w:numId w:val="4"/>
        </w:numPr>
      </w:pPr>
      <w:r w:rsidRPr="0061688D">
        <w:rPr>
          <w:b/>
        </w:rPr>
        <w:t>Peritoneal fluid:</w:t>
      </w:r>
      <w:r w:rsidR="0061688D">
        <w:rPr>
          <w:b/>
        </w:rPr>
        <w:t xml:space="preserve"> b</w:t>
      </w:r>
      <w:r w:rsidRPr="0061688D">
        <w:rPr>
          <w:b/>
        </w:rPr>
        <w:t>lood differentials</w:t>
      </w:r>
      <w:r w:rsidR="0061688D">
        <w:t xml:space="preserve"> </w:t>
      </w:r>
      <w:r w:rsidR="0061688D">
        <w:t>(</w:t>
      </w:r>
      <w:proofErr w:type="spellStart"/>
      <w:r w:rsidR="0061688D">
        <w:t>Bonczynski</w:t>
      </w:r>
      <w:proofErr w:type="spellEnd"/>
      <w:r w:rsidR="0061688D">
        <w:t xml:space="preserve"> et al 2003)</w:t>
      </w:r>
    </w:p>
    <w:p w:rsidR="00575260" w:rsidRDefault="0061688D" w:rsidP="00575260">
      <w:pPr>
        <w:pStyle w:val="ListParagraph"/>
        <w:numPr>
          <w:ilvl w:val="1"/>
          <w:numId w:val="4"/>
        </w:numPr>
      </w:pPr>
      <w:r>
        <w:t>pH</w:t>
      </w:r>
    </w:p>
    <w:p w:rsidR="0061688D" w:rsidRDefault="0061688D" w:rsidP="0061688D">
      <w:pPr>
        <w:pStyle w:val="ListParagraph"/>
        <w:numPr>
          <w:ilvl w:val="2"/>
          <w:numId w:val="4"/>
        </w:numPr>
      </w:pPr>
      <w:r>
        <w:t>pH is lower in septic peritoneal effusion compared to non-septic cats, but not dogs, no difference in fluid to blood pH in septic peritonitis</w:t>
      </w:r>
    </w:p>
    <w:p w:rsidR="00575260" w:rsidRDefault="00575260" w:rsidP="00575260">
      <w:pPr>
        <w:pStyle w:val="ListParagraph"/>
        <w:numPr>
          <w:ilvl w:val="1"/>
          <w:numId w:val="4"/>
        </w:numPr>
      </w:pPr>
      <w:r>
        <w:t>Glucose</w:t>
      </w:r>
    </w:p>
    <w:p w:rsidR="00575260" w:rsidRDefault="00814113" w:rsidP="00575260">
      <w:pPr>
        <w:pStyle w:val="ListParagraph"/>
        <w:numPr>
          <w:ilvl w:val="2"/>
          <w:numId w:val="4"/>
        </w:numPr>
      </w:pPr>
      <w:r>
        <w:t>&gt;</w:t>
      </w:r>
      <w:r w:rsidR="00575260">
        <w:t>20 mg/</w:t>
      </w:r>
      <w:proofErr w:type="spellStart"/>
      <w:r w:rsidR="00575260">
        <w:t>dL</w:t>
      </w:r>
      <w:proofErr w:type="spellEnd"/>
      <w:r w:rsidR="00575260">
        <w:t xml:space="preserve"> 100% </w:t>
      </w:r>
      <w:proofErr w:type="spellStart"/>
      <w:r w:rsidR="00575260">
        <w:t>sens</w:t>
      </w:r>
      <w:proofErr w:type="spellEnd"/>
      <w:r w:rsidR="00575260">
        <w:t xml:space="preserve"> and spec for sepsis in dogs; 86% </w:t>
      </w:r>
      <w:proofErr w:type="spellStart"/>
      <w:r w:rsidR="00575260">
        <w:t>sens</w:t>
      </w:r>
      <w:proofErr w:type="spellEnd"/>
      <w:r w:rsidR="00575260">
        <w:t>, 100% spec in cats</w:t>
      </w:r>
    </w:p>
    <w:p w:rsidR="00575260" w:rsidRDefault="00575260" w:rsidP="00575260">
      <w:pPr>
        <w:pStyle w:val="ListParagraph"/>
        <w:numPr>
          <w:ilvl w:val="1"/>
          <w:numId w:val="4"/>
        </w:numPr>
      </w:pPr>
      <w:r>
        <w:t>Lactate</w:t>
      </w:r>
    </w:p>
    <w:p w:rsidR="00575260" w:rsidRDefault="00575260" w:rsidP="00575260">
      <w:pPr>
        <w:pStyle w:val="ListParagraph"/>
        <w:numPr>
          <w:ilvl w:val="2"/>
          <w:numId w:val="4"/>
        </w:numPr>
      </w:pPr>
      <w:r>
        <w:t xml:space="preserve">&lt;-2.0 </w:t>
      </w:r>
      <w:proofErr w:type="spellStart"/>
      <w:r>
        <w:t>mmol</w:t>
      </w:r>
      <w:proofErr w:type="spellEnd"/>
      <w:r>
        <w:t xml:space="preserve">/L was also 100% </w:t>
      </w:r>
      <w:proofErr w:type="spellStart"/>
      <w:r>
        <w:t>sens</w:t>
      </w:r>
      <w:proofErr w:type="spellEnd"/>
      <w:r>
        <w:t xml:space="preserve"> and spec for sepsis in dogs</w:t>
      </w:r>
      <w:r w:rsidR="0061688D">
        <w:t>, trended to significance in cats</w:t>
      </w:r>
    </w:p>
    <w:p w:rsidR="00814113" w:rsidRDefault="00814113" w:rsidP="00575260">
      <w:pPr>
        <w:pStyle w:val="ListParagraph"/>
        <w:numPr>
          <w:ilvl w:val="2"/>
          <w:numId w:val="4"/>
        </w:numPr>
      </w:pPr>
      <w:r>
        <w:t xml:space="preserve">Septic peritoneal effusion is &gt;2.5 </w:t>
      </w:r>
      <w:proofErr w:type="spellStart"/>
      <w:r>
        <w:t>mmol</w:t>
      </w:r>
      <w:proofErr w:type="spellEnd"/>
      <w:r>
        <w:t>/L in dogs</w:t>
      </w:r>
      <w:r w:rsidR="007C1016">
        <w:t xml:space="preserve"> (Levin et al 2004)</w:t>
      </w:r>
    </w:p>
    <w:p w:rsidR="00BE5E28" w:rsidRDefault="007C1016" w:rsidP="0078664C">
      <w:pPr>
        <w:pStyle w:val="ListParagraph"/>
        <w:numPr>
          <w:ilvl w:val="2"/>
          <w:numId w:val="4"/>
        </w:numPr>
      </w:pPr>
      <w:r>
        <w:t>Neoplastic effusions may also have a marked glucose/lactate differential (Nestor et al 2004)</w:t>
      </w:r>
    </w:p>
    <w:p w:rsidR="00292D1D" w:rsidRPr="000373A6" w:rsidRDefault="00292D1D" w:rsidP="00292D1D">
      <w:pPr>
        <w:pStyle w:val="ListParagraph"/>
        <w:numPr>
          <w:ilvl w:val="0"/>
          <w:numId w:val="4"/>
        </w:numPr>
        <w:rPr>
          <w:b/>
        </w:rPr>
      </w:pPr>
      <w:r w:rsidRPr="000373A6">
        <w:rPr>
          <w:b/>
        </w:rPr>
        <w:t>Imaging:</w:t>
      </w:r>
    </w:p>
    <w:p w:rsidR="00292D1D" w:rsidRDefault="00292D1D" w:rsidP="00292D1D">
      <w:pPr>
        <w:pStyle w:val="ListParagraph"/>
        <w:numPr>
          <w:ilvl w:val="1"/>
          <w:numId w:val="4"/>
        </w:numPr>
      </w:pPr>
      <w:r>
        <w:t>Abdominal radiographs</w:t>
      </w:r>
    </w:p>
    <w:p w:rsidR="00292D1D" w:rsidRDefault="00292D1D" w:rsidP="00292D1D">
      <w:pPr>
        <w:pStyle w:val="ListParagraph"/>
        <w:numPr>
          <w:ilvl w:val="2"/>
          <w:numId w:val="4"/>
        </w:numPr>
      </w:pPr>
      <w:r>
        <w:t xml:space="preserve">Focal or generalized loss of serosal detail (ground glass </w:t>
      </w:r>
      <w:r w:rsidR="00DA1C10">
        <w:t>appearance</w:t>
      </w:r>
      <w:r>
        <w:t>)</w:t>
      </w:r>
    </w:p>
    <w:p w:rsidR="00292D1D" w:rsidRDefault="00292D1D" w:rsidP="00292D1D">
      <w:pPr>
        <w:pStyle w:val="ListParagraph"/>
        <w:numPr>
          <w:ilvl w:val="2"/>
          <w:numId w:val="4"/>
        </w:numPr>
      </w:pPr>
      <w:r>
        <w:t>Plication or intestinal obstruction</w:t>
      </w:r>
    </w:p>
    <w:p w:rsidR="00292D1D" w:rsidRDefault="00292D1D" w:rsidP="00292D1D">
      <w:pPr>
        <w:pStyle w:val="ListParagraph"/>
        <w:numPr>
          <w:ilvl w:val="2"/>
          <w:numId w:val="4"/>
        </w:numPr>
      </w:pPr>
      <w:r>
        <w:t>Pneumoperitoneum (hollow viscous rupture or gas-producing bacteria)</w:t>
      </w:r>
    </w:p>
    <w:p w:rsidR="00292D1D" w:rsidRDefault="00292D1D" w:rsidP="00292D1D">
      <w:pPr>
        <w:pStyle w:val="ListParagraph"/>
        <w:numPr>
          <w:ilvl w:val="3"/>
          <w:numId w:val="4"/>
        </w:numPr>
      </w:pPr>
      <w:r>
        <w:t xml:space="preserve">Free  small and irregular bubbles not associated to loops of bowel, larger gas volumes accumulate at highest points </w:t>
      </w:r>
    </w:p>
    <w:p w:rsidR="00292D1D" w:rsidRDefault="00292D1D" w:rsidP="00292D1D">
      <w:pPr>
        <w:pStyle w:val="ListParagraph"/>
        <w:numPr>
          <w:ilvl w:val="3"/>
          <w:numId w:val="4"/>
        </w:numPr>
      </w:pPr>
      <w:r>
        <w:t xml:space="preserve">On </w:t>
      </w:r>
      <w:proofErr w:type="spellStart"/>
      <w:r>
        <w:t>lat</w:t>
      </w:r>
      <w:proofErr w:type="spellEnd"/>
      <w:r>
        <w:t xml:space="preserve"> caudal to diaphragm and below cranial lumbar muscles, on VD caudal to diaphragm</w:t>
      </w:r>
    </w:p>
    <w:p w:rsidR="00292D1D" w:rsidRDefault="00292D1D" w:rsidP="00292D1D">
      <w:pPr>
        <w:pStyle w:val="ListParagraph"/>
        <w:numPr>
          <w:ilvl w:val="3"/>
          <w:numId w:val="4"/>
        </w:numPr>
      </w:pPr>
      <w:r>
        <w:t>Increased visualization of serosal surfaces</w:t>
      </w:r>
    </w:p>
    <w:p w:rsidR="00292D1D" w:rsidRDefault="00292D1D" w:rsidP="00292D1D">
      <w:pPr>
        <w:pStyle w:val="ListParagraph"/>
        <w:numPr>
          <w:ilvl w:val="3"/>
          <w:numId w:val="4"/>
        </w:numPr>
      </w:pPr>
      <w:r>
        <w:t>Post-op free gas usually reabsorbs within 3-7 days</w:t>
      </w:r>
    </w:p>
    <w:p w:rsidR="00292D1D" w:rsidRDefault="00292D1D" w:rsidP="00292D1D">
      <w:pPr>
        <w:pStyle w:val="ListParagraph"/>
        <w:numPr>
          <w:ilvl w:val="2"/>
          <w:numId w:val="4"/>
        </w:numPr>
      </w:pPr>
      <w:proofErr w:type="spellStart"/>
      <w:r>
        <w:t>P</w:t>
      </w:r>
      <w:r w:rsidR="00DA1C10">
        <w:t>rostatomegaly</w:t>
      </w:r>
      <w:proofErr w:type="spellEnd"/>
      <w:r w:rsidR="00DA1C10">
        <w:t>, enlarged uterus</w:t>
      </w:r>
    </w:p>
    <w:p w:rsidR="00DA1C10" w:rsidRDefault="00DA1C10" w:rsidP="00DA1C10">
      <w:pPr>
        <w:pStyle w:val="ListParagraph"/>
        <w:numPr>
          <w:ilvl w:val="1"/>
          <w:numId w:val="4"/>
        </w:numPr>
      </w:pPr>
      <w:r>
        <w:t>Ultrasound</w:t>
      </w:r>
    </w:p>
    <w:p w:rsidR="00DA1C10" w:rsidRDefault="00DA1C10" w:rsidP="00DA1C10">
      <w:pPr>
        <w:pStyle w:val="ListParagraph"/>
        <w:numPr>
          <w:ilvl w:val="2"/>
          <w:numId w:val="4"/>
        </w:numPr>
      </w:pPr>
      <w:r>
        <w:t>May determine underlying cause of peritonitis</w:t>
      </w:r>
    </w:p>
    <w:p w:rsidR="00DA1C10" w:rsidRDefault="00DA1C10" w:rsidP="00DA1C10">
      <w:pPr>
        <w:pStyle w:val="ListParagraph"/>
        <w:numPr>
          <w:ilvl w:val="2"/>
          <w:numId w:val="4"/>
        </w:numPr>
      </w:pPr>
      <w:r>
        <w:t>Will aid in obtaining a peritoneal effusion sample</w:t>
      </w:r>
    </w:p>
    <w:p w:rsidR="00DA1C10" w:rsidRDefault="00DA1C10" w:rsidP="00DA1C10">
      <w:pPr>
        <w:pStyle w:val="ListParagraph"/>
        <w:numPr>
          <w:ilvl w:val="1"/>
          <w:numId w:val="4"/>
        </w:numPr>
      </w:pPr>
      <w:r>
        <w:t xml:space="preserve">Contrast </w:t>
      </w:r>
      <w:r w:rsidR="000373A6">
        <w:t>Radiography</w:t>
      </w:r>
    </w:p>
    <w:p w:rsidR="00DA1C10" w:rsidRDefault="00DA1C10" w:rsidP="00DA1C10">
      <w:pPr>
        <w:pStyle w:val="ListParagraph"/>
        <w:numPr>
          <w:ilvl w:val="2"/>
          <w:numId w:val="4"/>
        </w:numPr>
      </w:pPr>
      <w:proofErr w:type="spellStart"/>
      <w:r>
        <w:t>Cystourethrogram</w:t>
      </w:r>
      <w:proofErr w:type="spellEnd"/>
    </w:p>
    <w:p w:rsidR="00552F87" w:rsidRPr="0061688D" w:rsidRDefault="00552F87" w:rsidP="00552F87">
      <w:pPr>
        <w:pStyle w:val="ListParagraph"/>
        <w:numPr>
          <w:ilvl w:val="0"/>
          <w:numId w:val="4"/>
        </w:numPr>
        <w:rPr>
          <w:b/>
        </w:rPr>
      </w:pPr>
      <w:r w:rsidRPr="0061688D">
        <w:rPr>
          <w:b/>
        </w:rPr>
        <w:t>Others:</w:t>
      </w:r>
    </w:p>
    <w:p w:rsidR="0061688D" w:rsidRDefault="0061688D" w:rsidP="00552F87">
      <w:pPr>
        <w:pStyle w:val="ListParagraph"/>
        <w:numPr>
          <w:ilvl w:val="1"/>
          <w:numId w:val="4"/>
        </w:numPr>
      </w:pPr>
      <w:r>
        <w:t>Peritoneal cell count (</w:t>
      </w:r>
      <w:proofErr w:type="spellStart"/>
      <w:r>
        <w:t>Bonczynski</w:t>
      </w:r>
      <w:proofErr w:type="spellEnd"/>
      <w:r>
        <w:t xml:space="preserve"> et al 2003)</w:t>
      </w:r>
    </w:p>
    <w:p w:rsidR="0061688D" w:rsidRDefault="0061688D" w:rsidP="0061688D">
      <w:pPr>
        <w:pStyle w:val="ListParagraph"/>
        <w:numPr>
          <w:ilvl w:val="2"/>
          <w:numId w:val="4"/>
        </w:numPr>
      </w:pPr>
      <w:r>
        <w:lastRenderedPageBreak/>
        <w:t>Higher cell counts are more likely in septic peritonitis</w:t>
      </w:r>
    </w:p>
    <w:p w:rsidR="0061688D" w:rsidRDefault="0061688D" w:rsidP="0061688D">
      <w:pPr>
        <w:pStyle w:val="ListParagraph"/>
        <w:numPr>
          <w:ilvl w:val="2"/>
          <w:numId w:val="4"/>
        </w:numPr>
      </w:pPr>
      <w:r>
        <w:t>Dogs: cutoff 13,000 cell/</w:t>
      </w:r>
      <w:proofErr w:type="spellStart"/>
      <w:r>
        <w:t>uL</w:t>
      </w:r>
      <w:proofErr w:type="spellEnd"/>
      <w:r>
        <w:t xml:space="preserve"> 86% </w:t>
      </w:r>
      <w:proofErr w:type="spellStart"/>
      <w:r>
        <w:t>sens</w:t>
      </w:r>
      <w:proofErr w:type="spellEnd"/>
      <w:r>
        <w:t>, 100% spec for septic effusion</w:t>
      </w:r>
    </w:p>
    <w:p w:rsidR="0061688D" w:rsidRDefault="0061688D" w:rsidP="0061688D">
      <w:pPr>
        <w:pStyle w:val="ListParagraph"/>
        <w:numPr>
          <w:ilvl w:val="2"/>
          <w:numId w:val="4"/>
        </w:numPr>
      </w:pPr>
      <w:r>
        <w:t xml:space="preserve">Cats: same cutoff was 100% </w:t>
      </w:r>
      <w:proofErr w:type="spellStart"/>
      <w:r>
        <w:t>sens</w:t>
      </w:r>
      <w:proofErr w:type="spellEnd"/>
      <w:r>
        <w:t xml:space="preserve"> and spec</w:t>
      </w:r>
    </w:p>
    <w:p w:rsidR="0078664C" w:rsidRPr="0078664C" w:rsidRDefault="0078664C" w:rsidP="0078664C">
      <w:pPr>
        <w:pStyle w:val="ListParagraph"/>
        <w:numPr>
          <w:ilvl w:val="1"/>
          <w:numId w:val="4"/>
        </w:numPr>
      </w:pPr>
      <w:r w:rsidRPr="0078664C">
        <w:t>Plasma lactate (</w:t>
      </w:r>
      <w:proofErr w:type="spellStart"/>
      <w:r w:rsidRPr="0078664C">
        <w:t>Cortellini</w:t>
      </w:r>
      <w:proofErr w:type="spellEnd"/>
      <w:r w:rsidRPr="0078664C">
        <w:t xml:space="preserve"> et </w:t>
      </w:r>
      <w:r>
        <w:t>al 2015, lactate in 83 dogs w/ septic peritonitis)</w:t>
      </w:r>
    </w:p>
    <w:p w:rsidR="0078664C" w:rsidRDefault="0078664C" w:rsidP="0078664C">
      <w:pPr>
        <w:pStyle w:val="ListParagraph"/>
        <w:numPr>
          <w:ilvl w:val="2"/>
          <w:numId w:val="4"/>
        </w:numPr>
      </w:pPr>
      <w:r>
        <w:t xml:space="preserve">&gt;4 </w:t>
      </w:r>
      <w:proofErr w:type="spellStart"/>
      <w:r>
        <w:t>mmol</w:t>
      </w:r>
      <w:proofErr w:type="spellEnd"/>
      <w:r>
        <w:t xml:space="preserve">/L </w:t>
      </w:r>
      <w:proofErr w:type="spellStart"/>
      <w:r>
        <w:t>sens</w:t>
      </w:r>
      <w:proofErr w:type="spellEnd"/>
      <w:r>
        <w:t xml:space="preserve"> 36% and spec 92% for non-survival</w:t>
      </w:r>
    </w:p>
    <w:p w:rsidR="0078664C" w:rsidRDefault="0078664C" w:rsidP="0078664C">
      <w:pPr>
        <w:pStyle w:val="ListParagraph"/>
        <w:numPr>
          <w:ilvl w:val="2"/>
          <w:numId w:val="4"/>
        </w:numPr>
      </w:pPr>
      <w:r>
        <w:t xml:space="preserve">Persistent post-op hyperlactatemia </w:t>
      </w:r>
      <w:proofErr w:type="spellStart"/>
      <w:r>
        <w:t>sens</w:t>
      </w:r>
      <w:proofErr w:type="spellEnd"/>
      <w:r>
        <w:t xml:space="preserve"> 92% and spec 100% for non-survival</w:t>
      </w:r>
    </w:p>
    <w:p w:rsidR="0078664C" w:rsidRDefault="0078664C" w:rsidP="0078664C">
      <w:pPr>
        <w:pStyle w:val="ListParagraph"/>
        <w:numPr>
          <w:ilvl w:val="2"/>
          <w:numId w:val="4"/>
        </w:numPr>
      </w:pPr>
      <w:r>
        <w:t xml:space="preserve">Lactate clearance &lt;42% at 12hr </w:t>
      </w:r>
      <w:proofErr w:type="spellStart"/>
      <w:r>
        <w:t>sens</w:t>
      </w:r>
      <w:proofErr w:type="spellEnd"/>
      <w:r>
        <w:t xml:space="preserve"> 82% and spec 100% for non-survival</w:t>
      </w:r>
    </w:p>
    <w:p w:rsidR="0078664C" w:rsidRDefault="0078664C" w:rsidP="0078664C">
      <w:pPr>
        <w:pStyle w:val="ListParagraph"/>
        <w:numPr>
          <w:ilvl w:val="1"/>
          <w:numId w:val="4"/>
        </w:numPr>
      </w:pPr>
      <w:proofErr w:type="spellStart"/>
      <w:r>
        <w:t>cfDNA</w:t>
      </w:r>
      <w:proofErr w:type="spellEnd"/>
      <w:r>
        <w:t xml:space="preserve"> (</w:t>
      </w:r>
      <w:proofErr w:type="spellStart"/>
      <w:r>
        <w:t>Letendre</w:t>
      </w:r>
      <w:proofErr w:type="spellEnd"/>
      <w:r>
        <w:t xml:space="preserve"> et al 2017)</w:t>
      </w:r>
    </w:p>
    <w:p w:rsidR="0078664C" w:rsidRDefault="0078664C" w:rsidP="0078664C">
      <w:pPr>
        <w:pStyle w:val="ListParagraph"/>
        <w:numPr>
          <w:ilvl w:val="2"/>
          <w:numId w:val="4"/>
        </w:numPr>
      </w:pPr>
      <w:r>
        <w:t>Elevated in sepsis and moderate to severe trauma</w:t>
      </w:r>
    </w:p>
    <w:p w:rsidR="0078664C" w:rsidRDefault="0078664C" w:rsidP="0078664C">
      <w:pPr>
        <w:pStyle w:val="ListParagraph"/>
        <w:numPr>
          <w:ilvl w:val="2"/>
          <w:numId w:val="4"/>
        </w:numPr>
      </w:pPr>
      <w:r>
        <w:t xml:space="preserve">High </w:t>
      </w:r>
      <w:proofErr w:type="spellStart"/>
      <w:r>
        <w:t>cfDNA</w:t>
      </w:r>
      <w:proofErr w:type="spellEnd"/>
      <w:r>
        <w:t xml:space="preserve"> and neutropenia was associated with decreased survival</w:t>
      </w:r>
    </w:p>
    <w:p w:rsidR="0078664C" w:rsidRDefault="0078664C" w:rsidP="0078664C"/>
    <w:p w:rsidR="00485170" w:rsidRPr="000373A6" w:rsidRDefault="007C1016">
      <w:pPr>
        <w:rPr>
          <w:b/>
        </w:rPr>
      </w:pPr>
      <w:r w:rsidRPr="000373A6">
        <w:rPr>
          <w:b/>
        </w:rPr>
        <w:t>T</w:t>
      </w:r>
      <w:r w:rsidR="00CF4378">
        <w:rPr>
          <w:b/>
        </w:rPr>
        <w:t>reatments</w:t>
      </w:r>
    </w:p>
    <w:p w:rsidR="007C1016" w:rsidRDefault="007C1016" w:rsidP="007C1016">
      <w:pPr>
        <w:pStyle w:val="ListParagraph"/>
        <w:numPr>
          <w:ilvl w:val="0"/>
          <w:numId w:val="6"/>
        </w:numPr>
        <w:rPr>
          <w:b/>
        </w:rPr>
      </w:pPr>
      <w:r w:rsidRPr="000373A6">
        <w:rPr>
          <w:b/>
        </w:rPr>
        <w:t>Medical</w:t>
      </w:r>
    </w:p>
    <w:p w:rsidR="000373A6" w:rsidRPr="000373A6" w:rsidRDefault="000373A6" w:rsidP="000373A6">
      <w:pPr>
        <w:pStyle w:val="ListParagraph"/>
        <w:numPr>
          <w:ilvl w:val="1"/>
          <w:numId w:val="6"/>
        </w:numPr>
        <w:rPr>
          <w:b/>
        </w:rPr>
      </w:pPr>
      <w:r>
        <w:t xml:space="preserve">Goals are to fluid resuscitate, stabilize electrolytes, glucose and </w:t>
      </w:r>
      <w:proofErr w:type="spellStart"/>
      <w:r>
        <w:t>coags</w:t>
      </w:r>
      <w:proofErr w:type="spellEnd"/>
    </w:p>
    <w:p w:rsidR="000373A6" w:rsidRPr="0078664C" w:rsidRDefault="000373A6" w:rsidP="000373A6">
      <w:pPr>
        <w:pStyle w:val="ListParagraph"/>
        <w:numPr>
          <w:ilvl w:val="1"/>
          <w:numId w:val="6"/>
        </w:numPr>
        <w:rPr>
          <w:b/>
        </w:rPr>
      </w:pPr>
      <w:r>
        <w:t>Due to severe protein loss, albumin may be considered</w:t>
      </w:r>
      <w:r w:rsidR="00D70B19">
        <w:t xml:space="preserve"> (</w:t>
      </w:r>
      <w:proofErr w:type="spellStart"/>
      <w:r w:rsidR="00D70B19">
        <w:t>Trow</w:t>
      </w:r>
      <w:proofErr w:type="spellEnd"/>
      <w:r w:rsidR="00D70B19">
        <w:t xml:space="preserve"> et al 2008; Craft et al 2012)</w:t>
      </w:r>
    </w:p>
    <w:p w:rsidR="0078664C" w:rsidRPr="007C3FD0" w:rsidRDefault="0078664C" w:rsidP="000373A6">
      <w:pPr>
        <w:pStyle w:val="ListParagraph"/>
        <w:numPr>
          <w:ilvl w:val="1"/>
          <w:numId w:val="6"/>
        </w:numPr>
        <w:rPr>
          <w:b/>
        </w:rPr>
      </w:pPr>
      <w:r>
        <w:t>Stabilize blood pressure</w:t>
      </w:r>
      <w:r w:rsidR="00FA4F8D">
        <w:t xml:space="preserve">, consider vasopressors, after fluid resuscitation </w:t>
      </w:r>
    </w:p>
    <w:p w:rsidR="007C3FD0" w:rsidRPr="00FA4F8D" w:rsidRDefault="007C3FD0" w:rsidP="000373A6">
      <w:pPr>
        <w:pStyle w:val="ListParagraph"/>
        <w:numPr>
          <w:ilvl w:val="1"/>
          <w:numId w:val="6"/>
        </w:numPr>
        <w:rPr>
          <w:b/>
        </w:rPr>
      </w:pPr>
      <w:r>
        <w:t>Analgesia</w:t>
      </w:r>
    </w:p>
    <w:p w:rsidR="00FA4F8D" w:rsidRPr="00FA4F8D" w:rsidRDefault="00FA4F8D" w:rsidP="000373A6">
      <w:pPr>
        <w:pStyle w:val="ListParagraph"/>
        <w:numPr>
          <w:ilvl w:val="1"/>
          <w:numId w:val="6"/>
        </w:numPr>
        <w:rPr>
          <w:b/>
        </w:rPr>
      </w:pPr>
      <w:r>
        <w:t>Broad spectrum antibiotics as soon as septic peritonitis is identified</w:t>
      </w:r>
    </w:p>
    <w:p w:rsidR="005107FC" w:rsidRPr="005107FC" w:rsidRDefault="005107FC" w:rsidP="00FA4F8D">
      <w:pPr>
        <w:pStyle w:val="ListParagraph"/>
        <w:numPr>
          <w:ilvl w:val="2"/>
          <w:numId w:val="6"/>
        </w:numPr>
        <w:rPr>
          <w:b/>
        </w:rPr>
      </w:pPr>
      <w:r w:rsidRPr="005107FC">
        <w:t>Dickinson et al 2015</w:t>
      </w:r>
      <w:r>
        <w:t>, 86 dogs with septic peritonitis</w:t>
      </w:r>
      <w:r w:rsidRPr="005107FC">
        <w:t xml:space="preserve"> </w:t>
      </w:r>
    </w:p>
    <w:p w:rsidR="005107FC" w:rsidRPr="005107FC" w:rsidRDefault="00383C12" w:rsidP="005107FC">
      <w:pPr>
        <w:pStyle w:val="ListParagraph"/>
        <w:numPr>
          <w:ilvl w:val="3"/>
          <w:numId w:val="6"/>
        </w:numPr>
        <w:rPr>
          <w:b/>
        </w:rPr>
      </w:pPr>
      <w:r w:rsidRPr="005107FC">
        <w:t xml:space="preserve">Empirical antibiotics </w:t>
      </w:r>
      <w:r w:rsidR="005107FC" w:rsidRPr="005107FC">
        <w:t xml:space="preserve">appropriate in </w:t>
      </w:r>
      <w:r w:rsidR="005107FC">
        <w:t>52.6% cases</w:t>
      </w:r>
      <w:r w:rsidR="00CA18B6">
        <w:t xml:space="preserve"> (most commonly used were </w:t>
      </w:r>
      <w:proofErr w:type="spellStart"/>
      <w:r w:rsidR="00CA18B6">
        <w:t>Unasyn</w:t>
      </w:r>
      <w:proofErr w:type="spellEnd"/>
      <w:r w:rsidR="00CA18B6">
        <w:t>, Cefuroxime, Fluoroquinolone and Metronidazole, in that order)</w:t>
      </w:r>
      <w:r w:rsidR="007C3FD0">
        <w:t xml:space="preserve">, given within 24 hours, 51% cases used </w:t>
      </w:r>
      <w:proofErr w:type="spellStart"/>
      <w:r w:rsidR="007C3FD0">
        <w:t>monomodal</w:t>
      </w:r>
      <w:proofErr w:type="spellEnd"/>
      <w:r w:rsidR="007C3FD0">
        <w:t xml:space="preserve"> therapy</w:t>
      </w:r>
    </w:p>
    <w:p w:rsidR="005107FC" w:rsidRPr="005107FC" w:rsidRDefault="005107FC" w:rsidP="005107FC">
      <w:pPr>
        <w:pStyle w:val="ListParagraph"/>
        <w:numPr>
          <w:ilvl w:val="3"/>
          <w:numId w:val="6"/>
        </w:numPr>
        <w:rPr>
          <w:b/>
        </w:rPr>
      </w:pPr>
      <w:r>
        <w:t>Antibiotics were given 30 days before to 73.3% dogs, this was not associated with outcome, but was associated to inappropriate empirical antibiotic choice</w:t>
      </w:r>
    </w:p>
    <w:p w:rsidR="005107FC" w:rsidRPr="005107FC" w:rsidRDefault="005107FC" w:rsidP="005107FC">
      <w:pPr>
        <w:pStyle w:val="ListParagraph"/>
        <w:numPr>
          <w:ilvl w:val="3"/>
          <w:numId w:val="6"/>
        </w:numPr>
        <w:rPr>
          <w:b/>
        </w:rPr>
      </w:pPr>
      <w:r>
        <w:t>Recent abdominal surgery</w:t>
      </w:r>
      <w:r w:rsidRPr="005107FC">
        <w:t xml:space="preserve"> </w:t>
      </w:r>
      <w:r>
        <w:t xml:space="preserve">was </w:t>
      </w:r>
      <w:r>
        <w:t xml:space="preserve">also </w:t>
      </w:r>
      <w:r>
        <w:t>associated to inappropriate empirical antibiotic choice</w:t>
      </w:r>
      <w:r>
        <w:t>, but did not influence survival</w:t>
      </w:r>
    </w:p>
    <w:p w:rsidR="00FA4F8D" w:rsidRDefault="00CA18B6" w:rsidP="005107FC">
      <w:pPr>
        <w:pStyle w:val="ListParagraph"/>
        <w:numPr>
          <w:ilvl w:val="3"/>
          <w:numId w:val="6"/>
        </w:numPr>
      </w:pPr>
      <w:r w:rsidRPr="00CA18B6">
        <w:t>47.4% was deemed inappropriate due to resistance patterns (not due to route or dose)</w:t>
      </w:r>
    </w:p>
    <w:p w:rsidR="00CA18B6" w:rsidRDefault="00CA18B6" w:rsidP="005107FC">
      <w:pPr>
        <w:pStyle w:val="ListParagraph"/>
        <w:numPr>
          <w:ilvl w:val="3"/>
          <w:numId w:val="6"/>
        </w:numPr>
      </w:pPr>
      <w:r>
        <w:t>58.5% survival in appropriate antimicrobial, and 52.6% survival in inappropriate antimicrobial</w:t>
      </w:r>
    </w:p>
    <w:p w:rsidR="00CA18B6" w:rsidRDefault="00CA18B6" w:rsidP="005107FC">
      <w:pPr>
        <w:pStyle w:val="ListParagraph"/>
        <w:numPr>
          <w:ilvl w:val="3"/>
          <w:numId w:val="6"/>
        </w:numPr>
      </w:pPr>
      <w:r>
        <w:t>Studies in people have shown a protective effect of appropriate antimi</w:t>
      </w:r>
      <w:r w:rsidR="007C3FD0">
        <w:t>crobial for non-surgical sepsis over surgical sepsis</w:t>
      </w:r>
    </w:p>
    <w:p w:rsidR="007C3FD0" w:rsidRDefault="007C3FD0" w:rsidP="007C3FD0">
      <w:pPr>
        <w:pStyle w:val="ListParagraph"/>
        <w:numPr>
          <w:ilvl w:val="2"/>
          <w:numId w:val="6"/>
        </w:numPr>
      </w:pPr>
      <w:r>
        <w:t>Abelson et al</w:t>
      </w:r>
      <w:r w:rsidR="00825327">
        <w:t xml:space="preserve"> 2013, implemented an antimicrobial protocol for septic peritonitis</w:t>
      </w:r>
    </w:p>
    <w:p w:rsidR="00AC16FF" w:rsidRDefault="00AC16FF" w:rsidP="00AC16FF">
      <w:pPr>
        <w:pStyle w:val="ListParagraph"/>
        <w:numPr>
          <w:ilvl w:val="3"/>
          <w:numId w:val="6"/>
        </w:numPr>
      </w:pPr>
      <w:r>
        <w:t xml:space="preserve">Pre-protocol median time to antimicrobials was 6hr, decreased to 1 </w:t>
      </w:r>
      <w:proofErr w:type="spellStart"/>
      <w:r>
        <w:t>hr</w:t>
      </w:r>
      <w:proofErr w:type="spellEnd"/>
      <w:r>
        <w:t xml:space="preserve"> post-protocol</w:t>
      </w:r>
      <w:r w:rsidR="00D911E7">
        <w:t xml:space="preserve">, frequent delays were due to radiographs, desire to get cultures before antibiotics (no difference in negative cultures was found in this study), waiting for </w:t>
      </w:r>
      <w:proofErr w:type="spellStart"/>
      <w:r w:rsidR="00D911E7">
        <w:t>perisurgical</w:t>
      </w:r>
      <w:proofErr w:type="spellEnd"/>
      <w:r w:rsidR="00D911E7">
        <w:t xml:space="preserve"> antimicrobials</w:t>
      </w:r>
    </w:p>
    <w:p w:rsidR="00AC16FF" w:rsidRDefault="00AC16FF" w:rsidP="00AC16FF">
      <w:pPr>
        <w:pStyle w:val="ListParagraph"/>
        <w:numPr>
          <w:ilvl w:val="3"/>
          <w:numId w:val="6"/>
        </w:numPr>
      </w:pPr>
      <w:r>
        <w:t>Pre-protocol inappropriate empirical antimicrobials were selected 15%, 8.8% in the post-protocol</w:t>
      </w:r>
    </w:p>
    <w:p w:rsidR="00AC16FF" w:rsidRDefault="00AC16FF" w:rsidP="00AC16FF">
      <w:pPr>
        <w:pStyle w:val="ListParagraph"/>
        <w:numPr>
          <w:ilvl w:val="3"/>
          <w:numId w:val="6"/>
        </w:numPr>
      </w:pPr>
      <w:r>
        <w:lastRenderedPageBreak/>
        <w:t>Survival increased from 60% to 70% post-protocol, not statistically significant</w:t>
      </w:r>
    </w:p>
    <w:p w:rsidR="00D911E7" w:rsidRDefault="00D911E7" w:rsidP="00D911E7">
      <w:pPr>
        <w:pStyle w:val="ListParagraph"/>
        <w:ind w:left="2880"/>
      </w:pPr>
    </w:p>
    <w:p w:rsidR="00AC16FF" w:rsidRPr="00CA18B6" w:rsidRDefault="00AC16FF" w:rsidP="00AC16FF">
      <w:r>
        <w:rPr>
          <w:noProof/>
        </w:rPr>
        <w:drawing>
          <wp:inline distT="0" distB="0" distL="0" distR="0" wp14:anchorId="033CC0B5" wp14:editId="2C8FF166">
            <wp:extent cx="2730500" cy="21764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85750" cy="2220524"/>
                    </a:xfrm>
                    <a:prstGeom prst="rect">
                      <a:avLst/>
                    </a:prstGeom>
                  </pic:spPr>
                </pic:pic>
              </a:graphicData>
            </a:graphic>
          </wp:inline>
        </w:drawing>
      </w:r>
      <w:r w:rsidRPr="00AC16FF">
        <w:rPr>
          <w:noProof/>
        </w:rPr>
        <w:t xml:space="preserve"> </w:t>
      </w:r>
      <w:r>
        <w:rPr>
          <w:noProof/>
        </w:rPr>
        <w:drawing>
          <wp:inline distT="0" distB="0" distL="0" distR="0" wp14:anchorId="180CB9DC" wp14:editId="526901A6">
            <wp:extent cx="3048000" cy="31446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24092" cy="3223129"/>
                    </a:xfrm>
                    <a:prstGeom prst="rect">
                      <a:avLst/>
                    </a:prstGeom>
                  </pic:spPr>
                </pic:pic>
              </a:graphicData>
            </a:graphic>
          </wp:inline>
        </w:drawing>
      </w:r>
    </w:p>
    <w:p w:rsidR="007C1016" w:rsidRPr="000373A6" w:rsidRDefault="007C1016" w:rsidP="007C1016">
      <w:pPr>
        <w:pStyle w:val="ListParagraph"/>
        <w:numPr>
          <w:ilvl w:val="0"/>
          <w:numId w:val="6"/>
        </w:numPr>
        <w:rPr>
          <w:b/>
        </w:rPr>
      </w:pPr>
      <w:r w:rsidRPr="000373A6">
        <w:rPr>
          <w:b/>
        </w:rPr>
        <w:t>Surgical</w:t>
      </w:r>
    </w:p>
    <w:p w:rsidR="007C3FD0" w:rsidRDefault="007C3FD0" w:rsidP="007C1016">
      <w:pPr>
        <w:pStyle w:val="ListParagraph"/>
        <w:numPr>
          <w:ilvl w:val="1"/>
          <w:numId w:val="6"/>
        </w:numPr>
      </w:pPr>
      <w:r>
        <w:t>Source control!!! Solution to pollution…</w:t>
      </w:r>
    </w:p>
    <w:p w:rsidR="002E5F33" w:rsidRDefault="007C1016" w:rsidP="002E5F33">
      <w:pPr>
        <w:pStyle w:val="ListParagraph"/>
        <w:numPr>
          <w:ilvl w:val="1"/>
          <w:numId w:val="6"/>
        </w:numPr>
      </w:pPr>
      <w:r>
        <w:t>Time to surgery</w:t>
      </w:r>
    </w:p>
    <w:p w:rsidR="007141DC" w:rsidRDefault="007141DC" w:rsidP="007141DC">
      <w:pPr>
        <w:pStyle w:val="ListParagraph"/>
        <w:numPr>
          <w:ilvl w:val="2"/>
          <w:numId w:val="6"/>
        </w:numPr>
      </w:pPr>
      <w:r>
        <w:t xml:space="preserve">Time to surgery &lt;6h vs </w:t>
      </w:r>
      <w:r w:rsidR="003E658B">
        <w:t>&lt;</w:t>
      </w:r>
      <w:r>
        <w:t xml:space="preserve">12hr </w:t>
      </w:r>
      <w:r w:rsidR="003E658B">
        <w:t>was not associated with outcome (Bush et al 2016)</w:t>
      </w:r>
    </w:p>
    <w:p w:rsidR="002E5F33" w:rsidRDefault="002E5F33" w:rsidP="002E5F33">
      <w:pPr>
        <w:pStyle w:val="ListParagraph"/>
        <w:numPr>
          <w:ilvl w:val="1"/>
          <w:numId w:val="6"/>
        </w:numPr>
      </w:pPr>
      <w:r>
        <w:t>Drains</w:t>
      </w:r>
    </w:p>
    <w:p w:rsidR="003E658B" w:rsidRDefault="003E658B" w:rsidP="003E658B">
      <w:pPr>
        <w:pStyle w:val="ListParagraph"/>
        <w:numPr>
          <w:ilvl w:val="2"/>
          <w:numId w:val="6"/>
        </w:numPr>
      </w:pPr>
      <w:r>
        <w:t xml:space="preserve">May improve survival since they </w:t>
      </w:r>
      <w:r w:rsidR="00B45E5F">
        <w:t>aid in removal of bacteria and inflammatory effusions</w:t>
      </w:r>
    </w:p>
    <w:p w:rsidR="00B45E5F" w:rsidRDefault="00B45E5F" w:rsidP="003E658B">
      <w:pPr>
        <w:pStyle w:val="ListParagraph"/>
        <w:numPr>
          <w:ilvl w:val="2"/>
          <w:numId w:val="6"/>
        </w:numPr>
      </w:pPr>
      <w:r>
        <w:t>Can worsen hypoproteinemia</w:t>
      </w:r>
    </w:p>
    <w:p w:rsidR="00C45A52" w:rsidRDefault="00C45A52" w:rsidP="002E5F33">
      <w:pPr>
        <w:pStyle w:val="ListParagraph"/>
        <w:numPr>
          <w:ilvl w:val="2"/>
          <w:numId w:val="6"/>
        </w:numPr>
      </w:pPr>
      <w:proofErr w:type="spellStart"/>
      <w:r>
        <w:t>Guieu</w:t>
      </w:r>
      <w:proofErr w:type="spellEnd"/>
      <w:r>
        <w:t xml:space="preserve"> et al 2016, 26 dogs w/septic peritonitis post-</w:t>
      </w:r>
      <w:proofErr w:type="spellStart"/>
      <w:r>
        <w:t>celiotomy</w:t>
      </w:r>
      <w:proofErr w:type="spellEnd"/>
      <w:r>
        <w:t xml:space="preserve"> and</w:t>
      </w:r>
      <w:r w:rsidR="005F155B">
        <w:t xml:space="preserve"> JP</w:t>
      </w:r>
      <w:r>
        <w:t xml:space="preserve"> drains</w:t>
      </w:r>
    </w:p>
    <w:p w:rsidR="002E5F33" w:rsidRDefault="002E5F33" w:rsidP="00C45A52">
      <w:pPr>
        <w:pStyle w:val="ListParagraph"/>
        <w:numPr>
          <w:ilvl w:val="3"/>
          <w:numId w:val="6"/>
        </w:numPr>
      </w:pPr>
      <w:r>
        <w:t>Glucose/lactate differentials are similar between post-</w:t>
      </w:r>
      <w:proofErr w:type="spellStart"/>
      <w:r>
        <w:t>celiotomy</w:t>
      </w:r>
      <w:proofErr w:type="spellEnd"/>
      <w:r>
        <w:t xml:space="preserve"> recovering dogs and </w:t>
      </w:r>
      <w:r w:rsidR="00C45A52">
        <w:t xml:space="preserve">post-operative </w:t>
      </w:r>
      <w:r>
        <w:t>septic peritonitis dogs</w:t>
      </w:r>
      <w:r w:rsidR="00C45A52">
        <w:t xml:space="preserve"> (POSP 2/26)</w:t>
      </w:r>
    </w:p>
    <w:p w:rsidR="002E5F33" w:rsidRDefault="002E5F33" w:rsidP="00C45A52">
      <w:pPr>
        <w:pStyle w:val="ListParagraph"/>
        <w:numPr>
          <w:ilvl w:val="3"/>
          <w:numId w:val="6"/>
        </w:numPr>
      </w:pPr>
      <w:r>
        <w:t>WBC in abdominal effusion decreased</w:t>
      </w:r>
      <w:r w:rsidR="00C45A52">
        <w:t xml:space="preserve"> in (POSP) dogs </w:t>
      </w:r>
    </w:p>
    <w:p w:rsidR="00C45A52" w:rsidRDefault="00C45A52" w:rsidP="00C45A52">
      <w:pPr>
        <w:pStyle w:val="ListParagraph"/>
        <w:numPr>
          <w:ilvl w:val="3"/>
          <w:numId w:val="6"/>
        </w:numPr>
      </w:pPr>
      <w:r>
        <w:t>Blood-to-fluid WBC and neutrophil ratios were greater in POSP dogs</w:t>
      </w:r>
    </w:p>
    <w:p w:rsidR="00C45A52" w:rsidRDefault="00C45A52" w:rsidP="00C45A52">
      <w:pPr>
        <w:pStyle w:val="ListParagraph"/>
        <w:numPr>
          <w:ilvl w:val="3"/>
          <w:numId w:val="6"/>
        </w:numPr>
      </w:pPr>
      <w:r>
        <w:t xml:space="preserve">No difference between groups dogs in abdominal effusion neutrophil count, degree of degeneration, presence or absence of </w:t>
      </w:r>
      <w:proofErr w:type="spellStart"/>
      <w:r>
        <w:t>intracell</w:t>
      </w:r>
      <w:proofErr w:type="spellEnd"/>
      <w:r>
        <w:t xml:space="preserve"> bacteria</w:t>
      </w:r>
    </w:p>
    <w:p w:rsidR="00C45A52" w:rsidRDefault="00C45A52" w:rsidP="00C45A52">
      <w:pPr>
        <w:pStyle w:val="ListParagraph"/>
        <w:numPr>
          <w:ilvl w:val="3"/>
          <w:numId w:val="6"/>
        </w:numPr>
      </w:pPr>
      <w:r>
        <w:t>No difference in production of abdominal fluid volume between groups</w:t>
      </w:r>
    </w:p>
    <w:p w:rsidR="00C45A52" w:rsidRDefault="00C45A52" w:rsidP="00C45A52">
      <w:pPr>
        <w:pStyle w:val="ListParagraph"/>
        <w:numPr>
          <w:ilvl w:val="3"/>
          <w:numId w:val="6"/>
        </w:numPr>
      </w:pPr>
      <w:r>
        <w:t>Bacteria was isolated from 100% drain tips</w:t>
      </w:r>
    </w:p>
    <w:p w:rsidR="005F155B" w:rsidRDefault="005F155B" w:rsidP="005F155B">
      <w:pPr>
        <w:pStyle w:val="ListParagraph"/>
        <w:numPr>
          <w:ilvl w:val="2"/>
          <w:numId w:val="6"/>
        </w:numPr>
      </w:pPr>
      <w:r>
        <w:t>Szabo et al, 2011, 10 healthy dogs post-</w:t>
      </w:r>
      <w:proofErr w:type="spellStart"/>
      <w:r>
        <w:t>celiotomy</w:t>
      </w:r>
      <w:proofErr w:type="spellEnd"/>
      <w:r>
        <w:t xml:space="preserve"> with JP drains</w:t>
      </w:r>
    </w:p>
    <w:p w:rsidR="005F155B" w:rsidRDefault="005F155B" w:rsidP="005F155B">
      <w:pPr>
        <w:pStyle w:val="ListParagraph"/>
        <w:numPr>
          <w:ilvl w:val="3"/>
          <w:numId w:val="6"/>
        </w:numPr>
      </w:pPr>
      <w:r>
        <w:t>Glucose/lactate differentials were consistent with septic effusions</w:t>
      </w:r>
    </w:p>
    <w:p w:rsidR="005F155B" w:rsidRDefault="005F155B" w:rsidP="005F155B">
      <w:pPr>
        <w:pStyle w:val="ListParagraph"/>
        <w:numPr>
          <w:ilvl w:val="3"/>
          <w:numId w:val="6"/>
        </w:numPr>
      </w:pPr>
      <w:r>
        <w:t xml:space="preserve">44% developed contaminated drains and positive cultures, 4/5 had both </w:t>
      </w:r>
      <w:proofErr w:type="spellStart"/>
      <w:r>
        <w:t>intracell</w:t>
      </w:r>
      <w:proofErr w:type="spellEnd"/>
      <w:r>
        <w:t xml:space="preserve"> and </w:t>
      </w:r>
      <w:proofErr w:type="spellStart"/>
      <w:r>
        <w:t>extracell</w:t>
      </w:r>
      <w:proofErr w:type="spellEnd"/>
      <w:r>
        <w:t xml:space="preserve"> bacteria, noticed from 2</w:t>
      </w:r>
      <w:r w:rsidRPr="005F155B">
        <w:rPr>
          <w:vertAlign w:val="superscript"/>
        </w:rPr>
        <w:t>nd</w:t>
      </w:r>
      <w:r>
        <w:t xml:space="preserve"> day on</w:t>
      </w:r>
    </w:p>
    <w:p w:rsidR="005F155B" w:rsidRDefault="005F155B" w:rsidP="009A55BC">
      <w:pPr>
        <w:pStyle w:val="ListParagraph"/>
        <w:numPr>
          <w:ilvl w:val="3"/>
          <w:numId w:val="6"/>
        </w:numPr>
      </w:pPr>
      <w:r>
        <w:t>100% had degenerate neutrophils in effusion</w:t>
      </w:r>
    </w:p>
    <w:p w:rsidR="00E430AD" w:rsidRDefault="00B45E5F" w:rsidP="00E430AD">
      <w:pPr>
        <w:pStyle w:val="ListParagraph"/>
        <w:numPr>
          <w:ilvl w:val="2"/>
          <w:numId w:val="6"/>
        </w:numPr>
      </w:pPr>
      <w:r>
        <w:lastRenderedPageBreak/>
        <w:t>Food dye?! If dehiscence occurs, food dye in diet may show color change in drain (</w:t>
      </w:r>
      <w:proofErr w:type="spellStart"/>
      <w:r>
        <w:t>Ropski</w:t>
      </w:r>
      <w:proofErr w:type="spellEnd"/>
      <w:r>
        <w:t xml:space="preserve"> et al 2017)</w:t>
      </w:r>
    </w:p>
    <w:p w:rsidR="00E430AD" w:rsidRDefault="00E430AD" w:rsidP="00E430AD">
      <w:pPr>
        <w:jc w:val="center"/>
      </w:pPr>
      <w:r>
        <w:rPr>
          <w:noProof/>
        </w:rPr>
        <w:drawing>
          <wp:inline distT="0" distB="0" distL="0" distR="0" wp14:anchorId="2722EA35" wp14:editId="1FBCFB4F">
            <wp:extent cx="3933825" cy="2438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33825" cy="2438400"/>
                    </a:xfrm>
                    <a:prstGeom prst="rect">
                      <a:avLst/>
                    </a:prstGeom>
                  </pic:spPr>
                </pic:pic>
              </a:graphicData>
            </a:graphic>
          </wp:inline>
        </w:drawing>
      </w:r>
    </w:p>
    <w:p w:rsidR="007C1016" w:rsidRDefault="007C1016" w:rsidP="007C1016">
      <w:pPr>
        <w:pStyle w:val="ListParagraph"/>
        <w:numPr>
          <w:ilvl w:val="1"/>
          <w:numId w:val="6"/>
        </w:numPr>
      </w:pPr>
      <w:r>
        <w:t>Postoperative care</w:t>
      </w:r>
    </w:p>
    <w:p w:rsidR="007C1016" w:rsidRDefault="007C1016" w:rsidP="007C1016">
      <w:pPr>
        <w:pStyle w:val="ListParagraph"/>
        <w:numPr>
          <w:ilvl w:val="2"/>
          <w:numId w:val="6"/>
        </w:numPr>
      </w:pPr>
      <w:r>
        <w:t>Monitoring</w:t>
      </w:r>
      <w:r w:rsidR="00E430AD">
        <w:t xml:space="preserve"> BW, BP, ECG, </w:t>
      </w:r>
    </w:p>
    <w:p w:rsidR="00E430AD" w:rsidRDefault="00E430AD" w:rsidP="007C1016">
      <w:pPr>
        <w:pStyle w:val="ListParagraph"/>
        <w:numPr>
          <w:ilvl w:val="2"/>
          <w:numId w:val="6"/>
        </w:numPr>
      </w:pPr>
      <w:r>
        <w:t>Early nutritional support associated with decreased LOH</w:t>
      </w:r>
    </w:p>
    <w:p w:rsidR="00E430AD" w:rsidRDefault="00E430AD" w:rsidP="007C1016">
      <w:pPr>
        <w:pStyle w:val="ListParagraph"/>
        <w:numPr>
          <w:ilvl w:val="2"/>
          <w:numId w:val="6"/>
        </w:numPr>
      </w:pPr>
      <w:r>
        <w:t>Analgesia</w:t>
      </w:r>
    </w:p>
    <w:p w:rsidR="00E430AD" w:rsidRDefault="00E430AD" w:rsidP="007C1016">
      <w:pPr>
        <w:pStyle w:val="ListParagraph"/>
        <w:numPr>
          <w:ilvl w:val="2"/>
          <w:numId w:val="6"/>
        </w:numPr>
      </w:pPr>
      <w:r>
        <w:t>Dehiscence window 3-5 days after surgery</w:t>
      </w:r>
    </w:p>
    <w:p w:rsidR="00E430AD" w:rsidRDefault="00E430AD" w:rsidP="007C1016">
      <w:pPr>
        <w:pStyle w:val="ListParagraph"/>
        <w:numPr>
          <w:ilvl w:val="2"/>
          <w:numId w:val="6"/>
        </w:numPr>
      </w:pPr>
      <w:r>
        <w:t>De</w:t>
      </w:r>
      <w:r w:rsidR="00014F19">
        <w:t>-</w:t>
      </w:r>
      <w:r>
        <w:t>escalate or change antibiotics as required by culture results</w:t>
      </w:r>
    </w:p>
    <w:p w:rsidR="007C1016" w:rsidRPr="00CF4378" w:rsidRDefault="00CF4378" w:rsidP="007C1016">
      <w:pPr>
        <w:rPr>
          <w:b/>
        </w:rPr>
      </w:pPr>
      <w:r>
        <w:rPr>
          <w:b/>
        </w:rPr>
        <w:t>Prognosis</w:t>
      </w:r>
      <w:r w:rsidR="007C1016" w:rsidRPr="00CF4378">
        <w:rPr>
          <w:b/>
        </w:rPr>
        <w:t xml:space="preserve"> </w:t>
      </w:r>
    </w:p>
    <w:p w:rsidR="00485170" w:rsidRDefault="005107FC" w:rsidP="005107FC">
      <w:pPr>
        <w:pStyle w:val="ListParagraph"/>
        <w:numPr>
          <w:ilvl w:val="0"/>
          <w:numId w:val="7"/>
        </w:numPr>
      </w:pPr>
      <w:r>
        <w:t>Survival rates 27-64%</w:t>
      </w:r>
      <w:r w:rsidR="00014F19">
        <w:t xml:space="preserve"> (50%)</w:t>
      </w:r>
      <w:r>
        <w:t>, cats having a worse outcome than dogs</w:t>
      </w:r>
    </w:p>
    <w:p w:rsidR="007141DC" w:rsidRDefault="007141DC" w:rsidP="005107FC">
      <w:pPr>
        <w:pStyle w:val="ListParagraph"/>
        <w:numPr>
          <w:ilvl w:val="0"/>
          <w:numId w:val="7"/>
        </w:numPr>
      </w:pPr>
      <w:r>
        <w:t>Biliary surgeries have a worse outcome</w:t>
      </w:r>
    </w:p>
    <w:p w:rsidR="00CF4378" w:rsidRPr="005107FC" w:rsidRDefault="00CF4378">
      <w:pPr>
        <w:rPr>
          <w:rFonts w:ascii="Arial" w:hAnsi="Arial" w:cs="Arial"/>
          <w:color w:val="222222"/>
          <w:sz w:val="20"/>
          <w:szCs w:val="20"/>
        </w:rPr>
      </w:pPr>
      <w:bookmarkStart w:id="0" w:name="_GoBack"/>
      <w:bookmarkEnd w:id="0"/>
    </w:p>
    <w:p w:rsidR="00CF4378" w:rsidRPr="00014F19" w:rsidRDefault="00CF4378">
      <w:pPr>
        <w:rPr>
          <w:rFonts w:ascii="Arial" w:hAnsi="Arial" w:cs="Arial"/>
          <w:b/>
          <w:color w:val="222222"/>
          <w:sz w:val="20"/>
          <w:szCs w:val="20"/>
        </w:rPr>
      </w:pPr>
      <w:r w:rsidRPr="00014F19">
        <w:rPr>
          <w:rFonts w:ascii="Arial" w:hAnsi="Arial" w:cs="Arial"/>
          <w:b/>
          <w:color w:val="222222"/>
          <w:sz w:val="20"/>
          <w:szCs w:val="20"/>
        </w:rPr>
        <w:t>Bibliography</w:t>
      </w:r>
    </w:p>
    <w:p w:rsidR="00CF4378" w:rsidRPr="00014F19" w:rsidRDefault="00014F19">
      <w:pPr>
        <w:rPr>
          <w:rFonts w:cstheme="minorHAnsi"/>
        </w:rPr>
      </w:pPr>
      <w:r w:rsidRPr="00014F19">
        <w:rPr>
          <w:rFonts w:cstheme="minorHAnsi"/>
        </w:rPr>
        <w:t>Bentley, Adrienne M., et al. "Alterations in the hemostatic profiles of dogs with naturally occurring septic peritonitis." Journal of Veterinary Emergency and Critical Care 23.1 (2013): 14-22.</w:t>
      </w:r>
    </w:p>
    <w:p w:rsidR="00485170" w:rsidRPr="00014F19" w:rsidRDefault="00485170">
      <w:pPr>
        <w:rPr>
          <w:rFonts w:cstheme="minorHAnsi"/>
        </w:rPr>
      </w:pPr>
      <w:proofErr w:type="spellStart"/>
      <w:r w:rsidRPr="00014F19">
        <w:rPr>
          <w:rFonts w:cstheme="minorHAnsi"/>
          <w:color w:val="222222"/>
          <w:lang w:val="es-CL"/>
        </w:rPr>
        <w:t>Bonczynski</w:t>
      </w:r>
      <w:proofErr w:type="spellEnd"/>
      <w:r w:rsidRPr="00014F19">
        <w:rPr>
          <w:rFonts w:cstheme="minorHAnsi"/>
          <w:color w:val="222222"/>
          <w:lang w:val="es-CL"/>
        </w:rPr>
        <w:t xml:space="preserve">, Jennifer J., et al. </w:t>
      </w:r>
      <w:r w:rsidRPr="00014F19">
        <w:rPr>
          <w:rFonts w:cstheme="minorHAnsi"/>
          <w:color w:val="222222"/>
        </w:rPr>
        <w:t xml:space="preserve">"Comparison of peritoneal fluid and peripheral blood pH, bicarbonate, glucose, and lactate concentration as a diagnostic tool for septic peritonitis in dogs and cats." </w:t>
      </w:r>
      <w:r w:rsidRPr="00014F19">
        <w:rPr>
          <w:rFonts w:cstheme="minorHAnsi"/>
          <w:i/>
          <w:iCs/>
          <w:color w:val="222222"/>
        </w:rPr>
        <w:t>Veterinary Surgery</w:t>
      </w:r>
      <w:r w:rsidRPr="00014F19">
        <w:rPr>
          <w:rFonts w:cstheme="minorHAnsi"/>
          <w:color w:val="222222"/>
        </w:rPr>
        <w:t xml:space="preserve"> 32.2 (2003): 161-166.</w:t>
      </w:r>
    </w:p>
    <w:p w:rsidR="00485170" w:rsidRDefault="00485170">
      <w:pPr>
        <w:rPr>
          <w:rFonts w:cstheme="minorHAnsi"/>
          <w:color w:val="222222"/>
        </w:rPr>
      </w:pPr>
      <w:proofErr w:type="spellStart"/>
      <w:r w:rsidRPr="00014F19">
        <w:rPr>
          <w:rFonts w:cstheme="minorHAnsi"/>
          <w:color w:val="222222"/>
          <w:lang w:val="es-CL"/>
        </w:rPr>
        <w:t>Costello</w:t>
      </w:r>
      <w:proofErr w:type="spellEnd"/>
      <w:r w:rsidRPr="00014F19">
        <w:rPr>
          <w:rFonts w:cstheme="minorHAnsi"/>
          <w:color w:val="222222"/>
          <w:lang w:val="es-CL"/>
        </w:rPr>
        <w:t xml:space="preserve">, </w:t>
      </w:r>
      <w:proofErr w:type="spellStart"/>
      <w:r w:rsidRPr="00014F19">
        <w:rPr>
          <w:rFonts w:cstheme="minorHAnsi"/>
          <w:color w:val="222222"/>
          <w:lang w:val="es-CL"/>
        </w:rPr>
        <w:t>Merilee</w:t>
      </w:r>
      <w:proofErr w:type="spellEnd"/>
      <w:r w:rsidRPr="00014F19">
        <w:rPr>
          <w:rFonts w:cstheme="minorHAnsi"/>
          <w:color w:val="222222"/>
          <w:lang w:val="es-CL"/>
        </w:rPr>
        <w:t xml:space="preserve"> F., et al. </w:t>
      </w:r>
      <w:r w:rsidRPr="00014F19">
        <w:rPr>
          <w:rFonts w:cstheme="minorHAnsi"/>
          <w:color w:val="222222"/>
        </w:rPr>
        <w:t xml:space="preserve">"Underlying cause, pathophysiologic abnormalities, and response to treatment in cats with septic peritonitis: 51 cases (1990–2001)." </w:t>
      </w:r>
      <w:r w:rsidRPr="00014F19">
        <w:rPr>
          <w:rFonts w:cstheme="minorHAnsi"/>
          <w:i/>
          <w:iCs/>
          <w:color w:val="222222"/>
        </w:rPr>
        <w:t>Journal of the American Veterinary Medical Association</w:t>
      </w:r>
      <w:r w:rsidRPr="00014F19">
        <w:rPr>
          <w:rFonts w:cstheme="minorHAnsi"/>
          <w:color w:val="222222"/>
        </w:rPr>
        <w:t xml:space="preserve"> 225.6 (2004): 897-902.</w:t>
      </w:r>
    </w:p>
    <w:p w:rsidR="00014F19" w:rsidRPr="00014F19" w:rsidRDefault="00014F19" w:rsidP="00014F19">
      <w:pPr>
        <w:rPr>
          <w:rFonts w:cstheme="minorHAnsi"/>
          <w:color w:val="222222"/>
        </w:rPr>
      </w:pPr>
      <w:r w:rsidRPr="00014F19">
        <w:rPr>
          <w:rFonts w:cstheme="minorHAnsi"/>
          <w:color w:val="222222"/>
        </w:rPr>
        <w:t xml:space="preserve">Craft, Elise M., and Lisa L. Powell. "The use of canine‐specific albumin in dogs with septic peritonitis." </w:t>
      </w:r>
      <w:r w:rsidRPr="00014F19">
        <w:rPr>
          <w:rFonts w:cstheme="minorHAnsi"/>
          <w:i/>
          <w:iCs/>
          <w:color w:val="222222"/>
        </w:rPr>
        <w:t>Journal of Veterinary Emergency and Critical Care</w:t>
      </w:r>
      <w:r w:rsidRPr="00014F19">
        <w:rPr>
          <w:rFonts w:cstheme="minorHAnsi"/>
          <w:color w:val="222222"/>
        </w:rPr>
        <w:t xml:space="preserve"> 22.6 (2012): 631-639.</w:t>
      </w:r>
    </w:p>
    <w:p w:rsidR="00014F19" w:rsidRDefault="00014F19" w:rsidP="00014F19">
      <w:pPr>
        <w:rPr>
          <w:rFonts w:cstheme="minorHAnsi"/>
          <w:color w:val="222222"/>
        </w:rPr>
      </w:pPr>
      <w:r w:rsidRPr="00014F19">
        <w:rPr>
          <w:rFonts w:cstheme="minorHAnsi"/>
          <w:color w:val="222222"/>
        </w:rPr>
        <w:t xml:space="preserve">Crowe, D. T. "DIAGNOSTIC ABDOMINAL PARACENTESIS TECHNIQUES-CLINICAL-EVALUATION IN 129 DOGS AND CATS." </w:t>
      </w:r>
      <w:r w:rsidRPr="00014F19">
        <w:rPr>
          <w:rFonts w:cstheme="minorHAnsi"/>
          <w:i/>
          <w:iCs/>
          <w:color w:val="222222"/>
        </w:rPr>
        <w:t>Journal of the American Animal Hospital Association</w:t>
      </w:r>
      <w:r w:rsidRPr="00014F19">
        <w:rPr>
          <w:rFonts w:cstheme="minorHAnsi"/>
          <w:color w:val="222222"/>
        </w:rPr>
        <w:t xml:space="preserve"> 20.2 (1984): 223-230.</w:t>
      </w:r>
    </w:p>
    <w:p w:rsidR="00014F19" w:rsidRPr="00014F19" w:rsidRDefault="00014F19">
      <w:pPr>
        <w:rPr>
          <w:rFonts w:cstheme="minorHAnsi"/>
          <w:color w:val="222222"/>
        </w:rPr>
      </w:pPr>
      <w:r w:rsidRPr="00014F19">
        <w:rPr>
          <w:rFonts w:cstheme="minorHAnsi"/>
          <w:color w:val="222222"/>
        </w:rPr>
        <w:lastRenderedPageBreak/>
        <w:t xml:space="preserve">Dickinson, Amy E., et al. "Impact of appropriate empirical antimicrobial therapy on outcome of dogs with septic peritonitis." </w:t>
      </w:r>
      <w:r w:rsidRPr="00014F19">
        <w:rPr>
          <w:rFonts w:cstheme="minorHAnsi"/>
          <w:i/>
          <w:iCs/>
          <w:color w:val="222222"/>
        </w:rPr>
        <w:t>Journal of Veterinary Emergency and Critical Care</w:t>
      </w:r>
      <w:r w:rsidRPr="00014F19">
        <w:rPr>
          <w:rFonts w:cstheme="minorHAnsi"/>
          <w:color w:val="222222"/>
        </w:rPr>
        <w:t xml:space="preserve"> 25.1 (2015): 152-159.</w:t>
      </w:r>
    </w:p>
    <w:p w:rsidR="00A5703B" w:rsidRDefault="00485170">
      <w:pPr>
        <w:rPr>
          <w:rFonts w:cstheme="minorHAnsi"/>
          <w:color w:val="222222"/>
        </w:rPr>
      </w:pPr>
      <w:r w:rsidRPr="00014F19">
        <w:rPr>
          <w:rFonts w:cstheme="minorHAnsi"/>
          <w:color w:val="222222"/>
        </w:rPr>
        <w:t xml:space="preserve">Grimes, Janet A., et al. "Identification of risk factors for septic peritonitis and failure to survive following gastrointestinal surgery in dogs." </w:t>
      </w:r>
      <w:r w:rsidRPr="00014F19">
        <w:rPr>
          <w:rFonts w:cstheme="minorHAnsi"/>
          <w:i/>
          <w:iCs/>
          <w:color w:val="222222"/>
        </w:rPr>
        <w:t>Journal of the American Veterinary Medical Association</w:t>
      </w:r>
      <w:r w:rsidRPr="00014F19">
        <w:rPr>
          <w:rFonts w:cstheme="minorHAnsi"/>
          <w:color w:val="222222"/>
        </w:rPr>
        <w:t xml:space="preserve"> 238.4 (2011): 486-494.</w:t>
      </w:r>
    </w:p>
    <w:p w:rsidR="00014F19" w:rsidRPr="00014F19" w:rsidRDefault="00014F19" w:rsidP="00014F19">
      <w:pPr>
        <w:rPr>
          <w:rFonts w:cstheme="minorHAnsi"/>
        </w:rPr>
      </w:pPr>
      <w:proofErr w:type="spellStart"/>
      <w:r w:rsidRPr="00014F19">
        <w:rPr>
          <w:rFonts w:cstheme="minorHAnsi"/>
          <w:lang w:val="es-CL"/>
        </w:rPr>
        <w:t>Guieu</w:t>
      </w:r>
      <w:proofErr w:type="spellEnd"/>
      <w:r w:rsidRPr="00014F19">
        <w:rPr>
          <w:rFonts w:cstheme="minorHAnsi"/>
          <w:lang w:val="es-CL"/>
        </w:rPr>
        <w:t xml:space="preserve">, L-vs, et al. </w:t>
      </w:r>
      <w:r w:rsidRPr="00014F19">
        <w:rPr>
          <w:rFonts w:cstheme="minorHAnsi"/>
        </w:rPr>
        <w:t>"Daily Post-operative Evaluation Of Peripheral Blood And Abdominal Drain Fluid From Dogs With Closed Suction Abdominal Drains To Identify Septic Peritonitis Following Intestinal Surgery." Journal of Veterinary Emergency and Critical Care 24 (2014): s7.</w:t>
      </w:r>
    </w:p>
    <w:p w:rsidR="00014F19" w:rsidRDefault="00014F19" w:rsidP="00014F19">
      <w:pPr>
        <w:rPr>
          <w:rFonts w:cstheme="minorHAnsi"/>
        </w:rPr>
      </w:pPr>
      <w:proofErr w:type="spellStart"/>
      <w:r w:rsidRPr="00014F19">
        <w:rPr>
          <w:rFonts w:cstheme="minorHAnsi"/>
        </w:rPr>
        <w:t>Guieu</w:t>
      </w:r>
      <w:proofErr w:type="spellEnd"/>
      <w:r w:rsidRPr="00014F19">
        <w:rPr>
          <w:rFonts w:cstheme="minorHAnsi"/>
        </w:rPr>
        <w:t>, Liz-</w:t>
      </w:r>
      <w:proofErr w:type="spellStart"/>
      <w:r w:rsidRPr="00014F19">
        <w:rPr>
          <w:rFonts w:cstheme="minorHAnsi"/>
        </w:rPr>
        <w:t>Valérie</w:t>
      </w:r>
      <w:proofErr w:type="spellEnd"/>
      <w:r w:rsidRPr="00014F19">
        <w:rPr>
          <w:rFonts w:cstheme="minorHAnsi"/>
        </w:rPr>
        <w:t xml:space="preserve"> S., et al. "Evaluation of peripheral blood and abdominal fluid variables as predictors of intestinal surgical site failure in dogs with septic peritonitis following </w:t>
      </w:r>
      <w:proofErr w:type="spellStart"/>
      <w:r w:rsidRPr="00014F19">
        <w:rPr>
          <w:rFonts w:cstheme="minorHAnsi"/>
        </w:rPr>
        <w:t>celiotomy</w:t>
      </w:r>
      <w:proofErr w:type="spellEnd"/>
      <w:r w:rsidRPr="00014F19">
        <w:rPr>
          <w:rFonts w:cstheme="minorHAnsi"/>
        </w:rPr>
        <w:t xml:space="preserve"> and the placement of closed-suction abdominal drains." Journal of the American Veterinary Medical Association 249.5 (2016): 515-525.</w:t>
      </w:r>
    </w:p>
    <w:p w:rsidR="00014F19" w:rsidRPr="00014F19" w:rsidRDefault="00014F19" w:rsidP="00014F19">
      <w:pPr>
        <w:rPr>
          <w:rFonts w:cstheme="minorHAnsi"/>
          <w:color w:val="222222"/>
        </w:rPr>
      </w:pPr>
      <w:proofErr w:type="spellStart"/>
      <w:r w:rsidRPr="00014F19">
        <w:rPr>
          <w:rFonts w:cstheme="minorHAnsi"/>
          <w:color w:val="222222"/>
        </w:rPr>
        <w:t>Holowaychuk</w:t>
      </w:r>
      <w:proofErr w:type="spellEnd"/>
      <w:r w:rsidRPr="00014F19">
        <w:rPr>
          <w:rFonts w:cstheme="minorHAnsi"/>
          <w:color w:val="222222"/>
        </w:rPr>
        <w:t xml:space="preserve">, M. K., et al. "Ionized hypocalcemia in critically ill dogs." </w:t>
      </w:r>
      <w:r w:rsidRPr="00014F19">
        <w:rPr>
          <w:rFonts w:cstheme="minorHAnsi"/>
          <w:i/>
          <w:iCs/>
          <w:color w:val="222222"/>
        </w:rPr>
        <w:t>Journal of veterinary internal medicine</w:t>
      </w:r>
      <w:r w:rsidRPr="00014F19">
        <w:rPr>
          <w:rFonts w:cstheme="minorHAnsi"/>
          <w:color w:val="222222"/>
        </w:rPr>
        <w:t xml:space="preserve"> 23.3 (2009): 509-513.</w:t>
      </w:r>
    </w:p>
    <w:p w:rsidR="00014F19" w:rsidRDefault="00014F19" w:rsidP="00014F19">
      <w:pPr>
        <w:rPr>
          <w:rFonts w:cstheme="minorHAnsi"/>
          <w:color w:val="222222"/>
        </w:rPr>
      </w:pPr>
      <w:proofErr w:type="spellStart"/>
      <w:r w:rsidRPr="00014F19">
        <w:rPr>
          <w:rFonts w:cstheme="minorHAnsi"/>
          <w:color w:val="222222"/>
        </w:rPr>
        <w:t>Kellett</w:t>
      </w:r>
      <w:proofErr w:type="spellEnd"/>
      <w:r w:rsidRPr="00014F19">
        <w:rPr>
          <w:rFonts w:cstheme="minorHAnsi"/>
          <w:color w:val="222222"/>
        </w:rPr>
        <w:t xml:space="preserve">‐Gregory, Lindsay M., et al. "Retrospective Study: Ionized calcium concentrations in cats with septic peritonitis: 55 cases (1990–2008)." </w:t>
      </w:r>
      <w:r w:rsidRPr="00014F19">
        <w:rPr>
          <w:rFonts w:cstheme="minorHAnsi"/>
          <w:i/>
          <w:iCs/>
          <w:color w:val="222222"/>
        </w:rPr>
        <w:t>Journal of veterinary emergency and critical care</w:t>
      </w:r>
      <w:r w:rsidRPr="00014F19">
        <w:rPr>
          <w:rFonts w:cstheme="minorHAnsi"/>
          <w:color w:val="222222"/>
        </w:rPr>
        <w:t xml:space="preserve"> 20.4 (2010): 398-405.</w:t>
      </w:r>
    </w:p>
    <w:p w:rsidR="00014F19" w:rsidRPr="00014F19" w:rsidRDefault="00014F19" w:rsidP="00014F19">
      <w:pPr>
        <w:rPr>
          <w:rFonts w:cstheme="minorHAnsi"/>
          <w:color w:val="222222"/>
        </w:rPr>
      </w:pPr>
      <w:proofErr w:type="spellStart"/>
      <w:r w:rsidRPr="00014F19">
        <w:rPr>
          <w:rFonts w:cstheme="minorHAnsi"/>
          <w:color w:val="222222"/>
        </w:rPr>
        <w:t>Letendre</w:t>
      </w:r>
      <w:proofErr w:type="spellEnd"/>
      <w:r w:rsidRPr="00014F19">
        <w:rPr>
          <w:rFonts w:cstheme="minorHAnsi"/>
          <w:color w:val="222222"/>
        </w:rPr>
        <w:t xml:space="preserve">, Jo‐Annie, and Robert </w:t>
      </w:r>
      <w:proofErr w:type="spellStart"/>
      <w:r w:rsidRPr="00014F19">
        <w:rPr>
          <w:rFonts w:cstheme="minorHAnsi"/>
          <w:color w:val="222222"/>
        </w:rPr>
        <w:t>Goggs</w:t>
      </w:r>
      <w:proofErr w:type="spellEnd"/>
      <w:r w:rsidRPr="00014F19">
        <w:rPr>
          <w:rFonts w:cstheme="minorHAnsi"/>
          <w:color w:val="222222"/>
        </w:rPr>
        <w:t xml:space="preserve">. "Measurement of plasma cell‐free DNA concentrations in dogs with sepsis, trauma, and neoplasia." </w:t>
      </w:r>
      <w:r w:rsidRPr="00014F19">
        <w:rPr>
          <w:rFonts w:cstheme="minorHAnsi"/>
          <w:i/>
          <w:iCs/>
          <w:color w:val="222222"/>
        </w:rPr>
        <w:t>Journal of Veterinary Emergency and Critical Care</w:t>
      </w:r>
      <w:r w:rsidRPr="00014F19">
        <w:rPr>
          <w:rFonts w:cstheme="minorHAnsi"/>
          <w:color w:val="222222"/>
        </w:rPr>
        <w:t xml:space="preserve"> 27.3 (2017): 307-314.</w:t>
      </w:r>
    </w:p>
    <w:p w:rsidR="00014F19" w:rsidRPr="00014F19" w:rsidRDefault="00014F19" w:rsidP="00014F19">
      <w:pPr>
        <w:rPr>
          <w:rFonts w:cstheme="minorHAnsi"/>
          <w:color w:val="222222"/>
        </w:rPr>
      </w:pPr>
      <w:r w:rsidRPr="00014F19">
        <w:rPr>
          <w:rFonts w:cstheme="minorHAnsi"/>
          <w:color w:val="222222"/>
        </w:rPr>
        <w:t xml:space="preserve">Levin, Garrett M., et al. "Lactate as a diagnostic test for septic peritoneal effusions in dogs and cats." </w:t>
      </w:r>
      <w:r w:rsidRPr="00014F19">
        <w:rPr>
          <w:rFonts w:cstheme="minorHAnsi"/>
          <w:i/>
          <w:iCs/>
          <w:color w:val="222222"/>
        </w:rPr>
        <w:t>Journal of the American Animal Hospital Association</w:t>
      </w:r>
      <w:r w:rsidRPr="00014F19">
        <w:rPr>
          <w:rFonts w:cstheme="minorHAnsi"/>
          <w:color w:val="222222"/>
        </w:rPr>
        <w:t xml:space="preserve"> 40.5 (2004): 364-371.</w:t>
      </w:r>
    </w:p>
    <w:p w:rsidR="00014F19" w:rsidRPr="00014F19" w:rsidRDefault="00014F19">
      <w:pPr>
        <w:rPr>
          <w:rFonts w:cstheme="minorHAnsi"/>
          <w:color w:val="222222"/>
        </w:rPr>
      </w:pPr>
      <w:proofErr w:type="spellStart"/>
      <w:r w:rsidRPr="00014F19">
        <w:rPr>
          <w:rFonts w:cstheme="minorHAnsi"/>
          <w:color w:val="222222"/>
        </w:rPr>
        <w:t>Luschini</w:t>
      </w:r>
      <w:proofErr w:type="spellEnd"/>
      <w:r w:rsidRPr="00014F19">
        <w:rPr>
          <w:rFonts w:cstheme="minorHAnsi"/>
          <w:color w:val="222222"/>
        </w:rPr>
        <w:t xml:space="preserve">, Maureen A., Daniel J. Fletcher, and Gretchen L. </w:t>
      </w:r>
      <w:proofErr w:type="spellStart"/>
      <w:r w:rsidRPr="00014F19">
        <w:rPr>
          <w:rFonts w:cstheme="minorHAnsi"/>
          <w:color w:val="222222"/>
        </w:rPr>
        <w:t>Schoeffler</w:t>
      </w:r>
      <w:proofErr w:type="spellEnd"/>
      <w:r w:rsidRPr="00014F19">
        <w:rPr>
          <w:rFonts w:cstheme="minorHAnsi"/>
          <w:color w:val="222222"/>
        </w:rPr>
        <w:t xml:space="preserve">. "Retrospective Study: Incidence of ionized hypocalcemia in septic dogs and its association with morbidity and mortality: 58 cases (2006–2007)." </w:t>
      </w:r>
      <w:r w:rsidRPr="00014F19">
        <w:rPr>
          <w:rFonts w:cstheme="minorHAnsi"/>
          <w:i/>
          <w:iCs/>
          <w:color w:val="222222"/>
        </w:rPr>
        <w:t>Journal of veterinary emergency and critical care</w:t>
      </w:r>
      <w:r w:rsidRPr="00014F19">
        <w:rPr>
          <w:rFonts w:cstheme="minorHAnsi"/>
          <w:color w:val="222222"/>
        </w:rPr>
        <w:t xml:space="preserve"> 20.4 (2010): 406-412.</w:t>
      </w:r>
    </w:p>
    <w:p w:rsidR="007C1016" w:rsidRPr="00014F19" w:rsidRDefault="007C1016" w:rsidP="00A5703B">
      <w:pPr>
        <w:rPr>
          <w:rFonts w:cstheme="minorHAnsi"/>
          <w:color w:val="222222"/>
        </w:rPr>
      </w:pPr>
      <w:r w:rsidRPr="00014F19">
        <w:rPr>
          <w:rFonts w:cstheme="minorHAnsi"/>
          <w:color w:val="222222"/>
        </w:rPr>
        <w:t xml:space="preserve">Nestor, Derek D., Sheila M. McCullough, and David J. Schaeffer. "Biochemical analysis of neoplastic versus </w:t>
      </w:r>
      <w:proofErr w:type="spellStart"/>
      <w:r w:rsidRPr="00014F19">
        <w:rPr>
          <w:rFonts w:cstheme="minorHAnsi"/>
          <w:color w:val="222222"/>
        </w:rPr>
        <w:t>nonneoplastic</w:t>
      </w:r>
      <w:proofErr w:type="spellEnd"/>
      <w:r w:rsidRPr="00014F19">
        <w:rPr>
          <w:rFonts w:cstheme="minorHAnsi"/>
          <w:color w:val="222222"/>
        </w:rPr>
        <w:t xml:space="preserve"> abdominal effusions in dogs." </w:t>
      </w:r>
      <w:r w:rsidRPr="00014F19">
        <w:rPr>
          <w:rFonts w:cstheme="minorHAnsi"/>
          <w:i/>
          <w:iCs/>
          <w:color w:val="222222"/>
        </w:rPr>
        <w:t>Journal of the American Animal Hospital Association</w:t>
      </w:r>
      <w:r w:rsidRPr="00014F19">
        <w:rPr>
          <w:rFonts w:cstheme="minorHAnsi"/>
          <w:color w:val="222222"/>
        </w:rPr>
        <w:t xml:space="preserve"> 40.5 (2004): 372-375.</w:t>
      </w:r>
    </w:p>
    <w:p w:rsidR="00014F19" w:rsidRPr="00014F19" w:rsidRDefault="00014F19" w:rsidP="00A5703B">
      <w:pPr>
        <w:rPr>
          <w:rFonts w:cstheme="minorHAnsi"/>
        </w:rPr>
      </w:pPr>
      <w:proofErr w:type="spellStart"/>
      <w:r w:rsidRPr="00014F19">
        <w:rPr>
          <w:rFonts w:cstheme="minorHAnsi"/>
        </w:rPr>
        <w:t>Ruthrauff</w:t>
      </w:r>
      <w:proofErr w:type="spellEnd"/>
      <w:r w:rsidRPr="00014F19">
        <w:rPr>
          <w:rFonts w:cstheme="minorHAnsi"/>
        </w:rPr>
        <w:t xml:space="preserve">, Cassandra M., Julie Smith, and Leigh </w:t>
      </w:r>
      <w:proofErr w:type="spellStart"/>
      <w:r w:rsidRPr="00014F19">
        <w:rPr>
          <w:rFonts w:cstheme="minorHAnsi"/>
        </w:rPr>
        <w:t>Glerum</w:t>
      </w:r>
      <w:proofErr w:type="spellEnd"/>
      <w:r w:rsidRPr="00014F19">
        <w:rPr>
          <w:rFonts w:cstheme="minorHAnsi"/>
        </w:rPr>
        <w:t>. "Primary bacterial septic peritonitis in cats: 13 cases." Journal of the American Animal Hospital As</w:t>
      </w:r>
      <w:r>
        <w:rPr>
          <w:rFonts w:cstheme="minorHAnsi"/>
        </w:rPr>
        <w:t>sociation 45.6 (2009): 268-276.</w:t>
      </w:r>
    </w:p>
    <w:p w:rsidR="00D70B19" w:rsidRPr="00014F19" w:rsidRDefault="00D70B19" w:rsidP="00A5703B">
      <w:pPr>
        <w:rPr>
          <w:rFonts w:cstheme="minorHAnsi"/>
          <w:color w:val="222222"/>
        </w:rPr>
      </w:pPr>
      <w:proofErr w:type="spellStart"/>
      <w:r w:rsidRPr="00014F19">
        <w:rPr>
          <w:rFonts w:cstheme="minorHAnsi"/>
          <w:color w:val="222222"/>
        </w:rPr>
        <w:t>Trow</w:t>
      </w:r>
      <w:proofErr w:type="spellEnd"/>
      <w:r w:rsidRPr="00014F19">
        <w:rPr>
          <w:rFonts w:cstheme="minorHAnsi"/>
          <w:color w:val="222222"/>
        </w:rPr>
        <w:t xml:space="preserve">, Amy V., Elizabeth A. </w:t>
      </w:r>
      <w:proofErr w:type="spellStart"/>
      <w:r w:rsidRPr="00014F19">
        <w:rPr>
          <w:rFonts w:cstheme="minorHAnsi"/>
          <w:color w:val="222222"/>
        </w:rPr>
        <w:t>Rozanski</w:t>
      </w:r>
      <w:proofErr w:type="spellEnd"/>
      <w:r w:rsidRPr="00014F19">
        <w:rPr>
          <w:rFonts w:cstheme="minorHAnsi"/>
          <w:color w:val="222222"/>
        </w:rPr>
        <w:t xml:space="preserve">, and Daniel L. Chan. "Evaluation of use of human albumin in critically ill dogs: 73 cases (2003–2006)." </w:t>
      </w:r>
      <w:r w:rsidRPr="00014F19">
        <w:rPr>
          <w:rFonts w:cstheme="minorHAnsi"/>
          <w:i/>
          <w:iCs/>
          <w:color w:val="222222"/>
        </w:rPr>
        <w:t>Journal of the American Veterinary Medical Association</w:t>
      </w:r>
      <w:r w:rsidRPr="00014F19">
        <w:rPr>
          <w:rFonts w:cstheme="minorHAnsi"/>
          <w:color w:val="222222"/>
        </w:rPr>
        <w:t xml:space="preserve"> 233.4 (2008): 607-612.</w:t>
      </w:r>
    </w:p>
    <w:p w:rsidR="00D911E7" w:rsidRPr="00014F19" w:rsidRDefault="00D911E7" w:rsidP="00A5703B">
      <w:pPr>
        <w:rPr>
          <w:rFonts w:cstheme="minorHAnsi"/>
          <w:color w:val="222222"/>
        </w:rPr>
      </w:pPr>
      <w:r w:rsidRPr="00014F19">
        <w:rPr>
          <w:rFonts w:cstheme="minorHAnsi"/>
          <w:color w:val="222222"/>
        </w:rPr>
        <w:t xml:space="preserve">Abelson, Amanda L., Gareth J. Buckley, and Elizabeth A. </w:t>
      </w:r>
      <w:proofErr w:type="spellStart"/>
      <w:r w:rsidRPr="00014F19">
        <w:rPr>
          <w:rFonts w:cstheme="minorHAnsi"/>
          <w:color w:val="222222"/>
        </w:rPr>
        <w:t>Rozanski</w:t>
      </w:r>
      <w:proofErr w:type="spellEnd"/>
      <w:r w:rsidRPr="00014F19">
        <w:rPr>
          <w:rFonts w:cstheme="minorHAnsi"/>
          <w:color w:val="222222"/>
        </w:rPr>
        <w:t xml:space="preserve">. "Positive impact of an emergency department protocol on time to antimicrobial administration in dogs with septic peritonitis." </w:t>
      </w:r>
      <w:r w:rsidRPr="00014F19">
        <w:rPr>
          <w:rFonts w:cstheme="minorHAnsi"/>
          <w:i/>
          <w:iCs/>
          <w:color w:val="222222"/>
        </w:rPr>
        <w:t>Journal of Veterinary Emergency and Critical Care</w:t>
      </w:r>
      <w:r w:rsidRPr="00014F19">
        <w:rPr>
          <w:rFonts w:cstheme="minorHAnsi"/>
          <w:color w:val="222222"/>
        </w:rPr>
        <w:t xml:space="preserve"> 23.5 (2013): 551-556.</w:t>
      </w:r>
    </w:p>
    <w:p w:rsidR="003E658B" w:rsidRPr="00014F19" w:rsidRDefault="003E658B" w:rsidP="00A5703B">
      <w:pPr>
        <w:rPr>
          <w:rFonts w:cstheme="minorHAnsi"/>
          <w:color w:val="222222"/>
        </w:rPr>
      </w:pPr>
      <w:r w:rsidRPr="00014F19">
        <w:rPr>
          <w:rFonts w:cstheme="minorHAnsi"/>
          <w:color w:val="222222"/>
        </w:rPr>
        <w:lastRenderedPageBreak/>
        <w:t xml:space="preserve">Bush, Maxwell, et al. "The effect of time until surgical intervention on survival in dogs with secondary septic peritonitis." </w:t>
      </w:r>
      <w:r w:rsidRPr="00014F19">
        <w:rPr>
          <w:rFonts w:cstheme="minorHAnsi"/>
          <w:i/>
          <w:iCs/>
          <w:color w:val="222222"/>
        </w:rPr>
        <w:t>The Canadian Veterinary Journal</w:t>
      </w:r>
      <w:r w:rsidRPr="00014F19">
        <w:rPr>
          <w:rFonts w:cstheme="minorHAnsi"/>
          <w:color w:val="222222"/>
        </w:rPr>
        <w:t xml:space="preserve"> 57.12 (2016): 1267.</w:t>
      </w:r>
    </w:p>
    <w:p w:rsidR="00B45E5F" w:rsidRPr="00014F19" w:rsidRDefault="00B45E5F" w:rsidP="00A5703B">
      <w:pPr>
        <w:rPr>
          <w:rFonts w:cstheme="minorHAnsi"/>
          <w:color w:val="222222"/>
        </w:rPr>
      </w:pPr>
      <w:proofErr w:type="spellStart"/>
      <w:r w:rsidRPr="00014F19">
        <w:rPr>
          <w:rFonts w:cstheme="minorHAnsi"/>
          <w:color w:val="222222"/>
        </w:rPr>
        <w:t>Ropski</w:t>
      </w:r>
      <w:proofErr w:type="spellEnd"/>
      <w:r w:rsidRPr="00014F19">
        <w:rPr>
          <w:rFonts w:cstheme="minorHAnsi"/>
          <w:color w:val="222222"/>
        </w:rPr>
        <w:t xml:space="preserve">, Meaghan K., et al. "Use of </w:t>
      </w:r>
      <w:proofErr w:type="spellStart"/>
      <w:r w:rsidRPr="00014F19">
        <w:rPr>
          <w:rFonts w:cstheme="minorHAnsi"/>
          <w:color w:val="222222"/>
        </w:rPr>
        <w:t>cryopoor</w:t>
      </w:r>
      <w:proofErr w:type="spellEnd"/>
      <w:r w:rsidRPr="00014F19">
        <w:rPr>
          <w:rFonts w:cstheme="minorHAnsi"/>
          <w:color w:val="222222"/>
        </w:rPr>
        <w:t xml:space="preserve"> plasma for albumin replacement and continuous antimicrobial infusion for treatment of septic peritonitis in a dog." </w:t>
      </w:r>
      <w:r w:rsidRPr="00014F19">
        <w:rPr>
          <w:rFonts w:cstheme="minorHAnsi"/>
          <w:i/>
          <w:iCs/>
          <w:color w:val="222222"/>
        </w:rPr>
        <w:t>Journal of Veterinary Emergency and Critical Care</w:t>
      </w:r>
      <w:r w:rsidRPr="00014F19">
        <w:rPr>
          <w:rFonts w:cstheme="minorHAnsi"/>
          <w:color w:val="222222"/>
        </w:rPr>
        <w:t xml:space="preserve"> 27.3 (2017): 348-356.</w:t>
      </w:r>
    </w:p>
    <w:p w:rsidR="00B45E5F" w:rsidRPr="00014F19" w:rsidRDefault="00B45E5F" w:rsidP="00A5703B">
      <w:pPr>
        <w:rPr>
          <w:rFonts w:cstheme="minorHAnsi"/>
          <w:b/>
        </w:rPr>
      </w:pPr>
      <w:r w:rsidRPr="00014F19">
        <w:rPr>
          <w:rFonts w:cstheme="minorHAnsi"/>
          <w:color w:val="222222"/>
        </w:rPr>
        <w:t xml:space="preserve">Li, Ronald HL, and Daniel L. Chan. "Evaluation of platelet function using multiple electrode platelet </w:t>
      </w:r>
      <w:proofErr w:type="spellStart"/>
      <w:r w:rsidRPr="00014F19">
        <w:rPr>
          <w:rFonts w:cstheme="minorHAnsi"/>
          <w:color w:val="222222"/>
        </w:rPr>
        <w:t>aggregometry</w:t>
      </w:r>
      <w:proofErr w:type="spellEnd"/>
      <w:r w:rsidRPr="00014F19">
        <w:rPr>
          <w:rFonts w:cstheme="minorHAnsi"/>
          <w:color w:val="222222"/>
        </w:rPr>
        <w:t xml:space="preserve"> in dogs with septic peritonitis." </w:t>
      </w:r>
      <w:r w:rsidRPr="00014F19">
        <w:rPr>
          <w:rFonts w:cstheme="minorHAnsi"/>
          <w:i/>
          <w:iCs/>
          <w:color w:val="222222"/>
        </w:rPr>
        <w:t>Journal of Veterinary Emergency and Critical Care</w:t>
      </w:r>
      <w:r w:rsidRPr="00014F19">
        <w:rPr>
          <w:rFonts w:cstheme="minorHAnsi"/>
          <w:color w:val="222222"/>
        </w:rPr>
        <w:t xml:space="preserve"> 26.5 (2016): 630-638.</w:t>
      </w:r>
    </w:p>
    <w:sectPr w:rsidR="00B45E5F" w:rsidRPr="00014F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B7859"/>
    <w:multiLevelType w:val="hybridMultilevel"/>
    <w:tmpl w:val="67BAD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126D14"/>
    <w:multiLevelType w:val="hybridMultilevel"/>
    <w:tmpl w:val="D58623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EB59AA"/>
    <w:multiLevelType w:val="hybridMultilevel"/>
    <w:tmpl w:val="0AEA1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677C77"/>
    <w:multiLevelType w:val="hybridMultilevel"/>
    <w:tmpl w:val="7A2456E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344533"/>
    <w:multiLevelType w:val="hybridMultilevel"/>
    <w:tmpl w:val="FD765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865F99"/>
    <w:multiLevelType w:val="hybridMultilevel"/>
    <w:tmpl w:val="6F0477E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EF6057"/>
    <w:multiLevelType w:val="hybridMultilevel"/>
    <w:tmpl w:val="62B88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170"/>
    <w:rsid w:val="00014F19"/>
    <w:rsid w:val="000373A6"/>
    <w:rsid w:val="001A350E"/>
    <w:rsid w:val="001C0FFF"/>
    <w:rsid w:val="001D6B23"/>
    <w:rsid w:val="002217D0"/>
    <w:rsid w:val="00262AFC"/>
    <w:rsid w:val="00292D1D"/>
    <w:rsid w:val="002E5F33"/>
    <w:rsid w:val="00383C12"/>
    <w:rsid w:val="003E658B"/>
    <w:rsid w:val="00485170"/>
    <w:rsid w:val="005041E8"/>
    <w:rsid w:val="005107FC"/>
    <w:rsid w:val="00552F87"/>
    <w:rsid w:val="00575260"/>
    <w:rsid w:val="005A4D03"/>
    <w:rsid w:val="005B6F65"/>
    <w:rsid w:val="005E011C"/>
    <w:rsid w:val="005F155B"/>
    <w:rsid w:val="005F283A"/>
    <w:rsid w:val="0061688D"/>
    <w:rsid w:val="006234E9"/>
    <w:rsid w:val="0064354A"/>
    <w:rsid w:val="007141DC"/>
    <w:rsid w:val="0078664C"/>
    <w:rsid w:val="007C1016"/>
    <w:rsid w:val="007C3FD0"/>
    <w:rsid w:val="00814113"/>
    <w:rsid w:val="00825327"/>
    <w:rsid w:val="00876624"/>
    <w:rsid w:val="00876D7B"/>
    <w:rsid w:val="009A55BC"/>
    <w:rsid w:val="009B6C24"/>
    <w:rsid w:val="009C75F9"/>
    <w:rsid w:val="00A5703B"/>
    <w:rsid w:val="00AC16FF"/>
    <w:rsid w:val="00B45E5F"/>
    <w:rsid w:val="00BE5E28"/>
    <w:rsid w:val="00BF7B39"/>
    <w:rsid w:val="00C022FE"/>
    <w:rsid w:val="00C45A52"/>
    <w:rsid w:val="00CA18B6"/>
    <w:rsid w:val="00CE1E2C"/>
    <w:rsid w:val="00CF4378"/>
    <w:rsid w:val="00D70B19"/>
    <w:rsid w:val="00D70EF7"/>
    <w:rsid w:val="00D911E7"/>
    <w:rsid w:val="00DA1C10"/>
    <w:rsid w:val="00E430AD"/>
    <w:rsid w:val="00FA4F8D"/>
    <w:rsid w:val="00FB7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48AA7E-B5E5-4AAC-9BDC-C0D340FD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7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36685">
      <w:bodyDiv w:val="1"/>
      <w:marLeft w:val="0"/>
      <w:marRight w:val="0"/>
      <w:marTop w:val="0"/>
      <w:marBottom w:val="0"/>
      <w:divBdr>
        <w:top w:val="none" w:sz="0" w:space="0" w:color="auto"/>
        <w:left w:val="none" w:sz="0" w:space="0" w:color="auto"/>
        <w:bottom w:val="none" w:sz="0" w:space="0" w:color="auto"/>
        <w:right w:val="none" w:sz="0" w:space="0" w:color="auto"/>
      </w:divBdr>
      <w:divsChild>
        <w:div w:id="983503634">
          <w:marLeft w:val="0"/>
          <w:marRight w:val="0"/>
          <w:marTop w:val="0"/>
          <w:marBottom w:val="0"/>
          <w:divBdr>
            <w:top w:val="none" w:sz="0" w:space="0" w:color="auto"/>
            <w:left w:val="none" w:sz="0" w:space="0" w:color="auto"/>
            <w:bottom w:val="none" w:sz="0" w:space="0" w:color="auto"/>
            <w:right w:val="none" w:sz="0" w:space="0" w:color="auto"/>
          </w:divBdr>
          <w:divsChild>
            <w:div w:id="765536887">
              <w:marLeft w:val="0"/>
              <w:marRight w:val="0"/>
              <w:marTop w:val="0"/>
              <w:marBottom w:val="0"/>
              <w:divBdr>
                <w:top w:val="none" w:sz="0" w:space="0" w:color="auto"/>
                <w:left w:val="none" w:sz="0" w:space="0" w:color="auto"/>
                <w:bottom w:val="none" w:sz="0" w:space="0" w:color="auto"/>
                <w:right w:val="none" w:sz="0" w:space="0" w:color="auto"/>
              </w:divBdr>
              <w:divsChild>
                <w:div w:id="887230850">
                  <w:marLeft w:val="0"/>
                  <w:marRight w:val="0"/>
                  <w:marTop w:val="0"/>
                  <w:marBottom w:val="0"/>
                  <w:divBdr>
                    <w:top w:val="none" w:sz="0" w:space="0" w:color="auto"/>
                    <w:left w:val="none" w:sz="0" w:space="0" w:color="auto"/>
                    <w:bottom w:val="none" w:sz="0" w:space="0" w:color="auto"/>
                    <w:right w:val="none" w:sz="0" w:space="0" w:color="auto"/>
                  </w:divBdr>
                  <w:divsChild>
                    <w:div w:id="472720588">
                      <w:marLeft w:val="0"/>
                      <w:marRight w:val="0"/>
                      <w:marTop w:val="0"/>
                      <w:marBottom w:val="0"/>
                      <w:divBdr>
                        <w:top w:val="none" w:sz="0" w:space="0" w:color="auto"/>
                        <w:left w:val="none" w:sz="0" w:space="0" w:color="auto"/>
                        <w:bottom w:val="none" w:sz="0" w:space="0" w:color="auto"/>
                        <w:right w:val="none" w:sz="0" w:space="0" w:color="auto"/>
                      </w:divBdr>
                      <w:divsChild>
                        <w:div w:id="385102785">
                          <w:marLeft w:val="0"/>
                          <w:marRight w:val="0"/>
                          <w:marTop w:val="0"/>
                          <w:marBottom w:val="0"/>
                          <w:divBdr>
                            <w:top w:val="none" w:sz="0" w:space="0" w:color="auto"/>
                            <w:left w:val="none" w:sz="0" w:space="0" w:color="auto"/>
                            <w:bottom w:val="none" w:sz="0" w:space="0" w:color="auto"/>
                            <w:right w:val="none" w:sz="0" w:space="0" w:color="auto"/>
                          </w:divBdr>
                          <w:divsChild>
                            <w:div w:id="1113750791">
                              <w:marLeft w:val="15"/>
                              <w:marRight w:val="195"/>
                              <w:marTop w:val="0"/>
                              <w:marBottom w:val="0"/>
                              <w:divBdr>
                                <w:top w:val="none" w:sz="0" w:space="0" w:color="auto"/>
                                <w:left w:val="none" w:sz="0" w:space="0" w:color="auto"/>
                                <w:bottom w:val="none" w:sz="0" w:space="0" w:color="auto"/>
                                <w:right w:val="none" w:sz="0" w:space="0" w:color="auto"/>
                              </w:divBdr>
                              <w:divsChild>
                                <w:div w:id="1214855227">
                                  <w:marLeft w:val="0"/>
                                  <w:marRight w:val="0"/>
                                  <w:marTop w:val="0"/>
                                  <w:marBottom w:val="0"/>
                                  <w:divBdr>
                                    <w:top w:val="none" w:sz="0" w:space="0" w:color="auto"/>
                                    <w:left w:val="none" w:sz="0" w:space="0" w:color="auto"/>
                                    <w:bottom w:val="none" w:sz="0" w:space="0" w:color="auto"/>
                                    <w:right w:val="none" w:sz="0" w:space="0" w:color="auto"/>
                                  </w:divBdr>
                                  <w:divsChild>
                                    <w:div w:id="1290624215">
                                      <w:marLeft w:val="0"/>
                                      <w:marRight w:val="0"/>
                                      <w:marTop w:val="0"/>
                                      <w:marBottom w:val="0"/>
                                      <w:divBdr>
                                        <w:top w:val="none" w:sz="0" w:space="0" w:color="auto"/>
                                        <w:left w:val="none" w:sz="0" w:space="0" w:color="auto"/>
                                        <w:bottom w:val="none" w:sz="0" w:space="0" w:color="auto"/>
                                        <w:right w:val="none" w:sz="0" w:space="0" w:color="auto"/>
                                      </w:divBdr>
                                      <w:divsChild>
                                        <w:div w:id="571737404">
                                          <w:marLeft w:val="0"/>
                                          <w:marRight w:val="0"/>
                                          <w:marTop w:val="0"/>
                                          <w:marBottom w:val="0"/>
                                          <w:divBdr>
                                            <w:top w:val="none" w:sz="0" w:space="0" w:color="auto"/>
                                            <w:left w:val="none" w:sz="0" w:space="0" w:color="auto"/>
                                            <w:bottom w:val="none" w:sz="0" w:space="0" w:color="auto"/>
                                            <w:right w:val="none" w:sz="0" w:space="0" w:color="auto"/>
                                          </w:divBdr>
                                          <w:divsChild>
                                            <w:div w:id="1720324795">
                                              <w:marLeft w:val="0"/>
                                              <w:marRight w:val="0"/>
                                              <w:marTop w:val="0"/>
                                              <w:marBottom w:val="0"/>
                                              <w:divBdr>
                                                <w:top w:val="none" w:sz="0" w:space="0" w:color="auto"/>
                                                <w:left w:val="none" w:sz="0" w:space="0" w:color="auto"/>
                                                <w:bottom w:val="none" w:sz="0" w:space="0" w:color="auto"/>
                                                <w:right w:val="none" w:sz="0" w:space="0" w:color="auto"/>
                                              </w:divBdr>
                                              <w:divsChild>
                                                <w:div w:id="2036299276">
                                                  <w:marLeft w:val="0"/>
                                                  <w:marRight w:val="0"/>
                                                  <w:marTop w:val="0"/>
                                                  <w:marBottom w:val="0"/>
                                                  <w:divBdr>
                                                    <w:top w:val="none" w:sz="0" w:space="0" w:color="auto"/>
                                                    <w:left w:val="none" w:sz="0" w:space="0" w:color="auto"/>
                                                    <w:bottom w:val="none" w:sz="0" w:space="0" w:color="auto"/>
                                                    <w:right w:val="none" w:sz="0" w:space="0" w:color="auto"/>
                                                  </w:divBdr>
                                                  <w:divsChild>
                                                    <w:div w:id="1613709056">
                                                      <w:marLeft w:val="0"/>
                                                      <w:marRight w:val="0"/>
                                                      <w:marTop w:val="0"/>
                                                      <w:marBottom w:val="0"/>
                                                      <w:divBdr>
                                                        <w:top w:val="none" w:sz="0" w:space="0" w:color="auto"/>
                                                        <w:left w:val="none" w:sz="0" w:space="0" w:color="auto"/>
                                                        <w:bottom w:val="none" w:sz="0" w:space="0" w:color="auto"/>
                                                        <w:right w:val="none" w:sz="0" w:space="0" w:color="auto"/>
                                                      </w:divBdr>
                                                      <w:divsChild>
                                                        <w:div w:id="627668045">
                                                          <w:marLeft w:val="0"/>
                                                          <w:marRight w:val="0"/>
                                                          <w:marTop w:val="0"/>
                                                          <w:marBottom w:val="0"/>
                                                          <w:divBdr>
                                                            <w:top w:val="none" w:sz="0" w:space="0" w:color="auto"/>
                                                            <w:left w:val="none" w:sz="0" w:space="0" w:color="auto"/>
                                                            <w:bottom w:val="none" w:sz="0" w:space="0" w:color="auto"/>
                                                            <w:right w:val="none" w:sz="0" w:space="0" w:color="auto"/>
                                                          </w:divBdr>
                                                          <w:divsChild>
                                                            <w:div w:id="1408190136">
                                                              <w:marLeft w:val="0"/>
                                                              <w:marRight w:val="0"/>
                                                              <w:marTop w:val="0"/>
                                                              <w:marBottom w:val="0"/>
                                                              <w:divBdr>
                                                                <w:top w:val="none" w:sz="0" w:space="0" w:color="auto"/>
                                                                <w:left w:val="none" w:sz="0" w:space="0" w:color="auto"/>
                                                                <w:bottom w:val="none" w:sz="0" w:space="0" w:color="auto"/>
                                                                <w:right w:val="none" w:sz="0" w:space="0" w:color="auto"/>
                                                              </w:divBdr>
                                                              <w:divsChild>
                                                                <w:div w:id="823660457">
                                                                  <w:marLeft w:val="0"/>
                                                                  <w:marRight w:val="0"/>
                                                                  <w:marTop w:val="0"/>
                                                                  <w:marBottom w:val="0"/>
                                                                  <w:divBdr>
                                                                    <w:top w:val="none" w:sz="0" w:space="0" w:color="auto"/>
                                                                    <w:left w:val="none" w:sz="0" w:space="0" w:color="auto"/>
                                                                    <w:bottom w:val="none" w:sz="0" w:space="0" w:color="auto"/>
                                                                    <w:right w:val="none" w:sz="0" w:space="0" w:color="auto"/>
                                                                  </w:divBdr>
                                                                  <w:divsChild>
                                                                    <w:div w:id="1643073256">
                                                                      <w:marLeft w:val="405"/>
                                                                      <w:marRight w:val="0"/>
                                                                      <w:marTop w:val="0"/>
                                                                      <w:marBottom w:val="0"/>
                                                                      <w:divBdr>
                                                                        <w:top w:val="none" w:sz="0" w:space="0" w:color="auto"/>
                                                                        <w:left w:val="none" w:sz="0" w:space="0" w:color="auto"/>
                                                                        <w:bottom w:val="none" w:sz="0" w:space="0" w:color="auto"/>
                                                                        <w:right w:val="none" w:sz="0" w:space="0" w:color="auto"/>
                                                                      </w:divBdr>
                                                                      <w:divsChild>
                                                                        <w:div w:id="39139268">
                                                                          <w:marLeft w:val="0"/>
                                                                          <w:marRight w:val="0"/>
                                                                          <w:marTop w:val="0"/>
                                                                          <w:marBottom w:val="0"/>
                                                                          <w:divBdr>
                                                                            <w:top w:val="none" w:sz="0" w:space="0" w:color="auto"/>
                                                                            <w:left w:val="none" w:sz="0" w:space="0" w:color="auto"/>
                                                                            <w:bottom w:val="none" w:sz="0" w:space="0" w:color="auto"/>
                                                                            <w:right w:val="none" w:sz="0" w:space="0" w:color="auto"/>
                                                                          </w:divBdr>
                                                                          <w:divsChild>
                                                                            <w:div w:id="1472363552">
                                                                              <w:marLeft w:val="0"/>
                                                                              <w:marRight w:val="0"/>
                                                                              <w:marTop w:val="0"/>
                                                                              <w:marBottom w:val="0"/>
                                                                              <w:divBdr>
                                                                                <w:top w:val="none" w:sz="0" w:space="0" w:color="auto"/>
                                                                                <w:left w:val="none" w:sz="0" w:space="0" w:color="auto"/>
                                                                                <w:bottom w:val="none" w:sz="0" w:space="0" w:color="auto"/>
                                                                                <w:right w:val="none" w:sz="0" w:space="0" w:color="auto"/>
                                                                              </w:divBdr>
                                                                              <w:divsChild>
                                                                                <w:div w:id="1071543483">
                                                                                  <w:marLeft w:val="0"/>
                                                                                  <w:marRight w:val="0"/>
                                                                                  <w:marTop w:val="0"/>
                                                                                  <w:marBottom w:val="0"/>
                                                                                  <w:divBdr>
                                                                                    <w:top w:val="none" w:sz="0" w:space="0" w:color="auto"/>
                                                                                    <w:left w:val="none" w:sz="0" w:space="0" w:color="auto"/>
                                                                                    <w:bottom w:val="none" w:sz="0" w:space="0" w:color="auto"/>
                                                                                    <w:right w:val="none" w:sz="0" w:space="0" w:color="auto"/>
                                                                                  </w:divBdr>
                                                                                  <w:divsChild>
                                                                                    <w:div w:id="1368215356">
                                                                                      <w:marLeft w:val="0"/>
                                                                                      <w:marRight w:val="0"/>
                                                                                      <w:marTop w:val="0"/>
                                                                                      <w:marBottom w:val="0"/>
                                                                                      <w:divBdr>
                                                                                        <w:top w:val="none" w:sz="0" w:space="0" w:color="auto"/>
                                                                                        <w:left w:val="none" w:sz="0" w:space="0" w:color="auto"/>
                                                                                        <w:bottom w:val="none" w:sz="0" w:space="0" w:color="auto"/>
                                                                                        <w:right w:val="none" w:sz="0" w:space="0" w:color="auto"/>
                                                                                      </w:divBdr>
                                                                                      <w:divsChild>
                                                                                        <w:div w:id="1891306202">
                                                                                          <w:marLeft w:val="0"/>
                                                                                          <w:marRight w:val="0"/>
                                                                                          <w:marTop w:val="0"/>
                                                                                          <w:marBottom w:val="0"/>
                                                                                          <w:divBdr>
                                                                                            <w:top w:val="none" w:sz="0" w:space="0" w:color="auto"/>
                                                                                            <w:left w:val="none" w:sz="0" w:space="0" w:color="auto"/>
                                                                                            <w:bottom w:val="none" w:sz="0" w:space="0" w:color="auto"/>
                                                                                            <w:right w:val="none" w:sz="0" w:space="0" w:color="auto"/>
                                                                                          </w:divBdr>
                                                                                          <w:divsChild>
                                                                                            <w:div w:id="1378160440">
                                                                                              <w:marLeft w:val="0"/>
                                                                                              <w:marRight w:val="0"/>
                                                                                              <w:marTop w:val="0"/>
                                                                                              <w:marBottom w:val="0"/>
                                                                                              <w:divBdr>
                                                                                                <w:top w:val="none" w:sz="0" w:space="0" w:color="auto"/>
                                                                                                <w:left w:val="none" w:sz="0" w:space="0" w:color="auto"/>
                                                                                                <w:bottom w:val="none" w:sz="0" w:space="0" w:color="auto"/>
                                                                                                <w:right w:val="none" w:sz="0" w:space="0" w:color="auto"/>
                                                                                              </w:divBdr>
                                                                                              <w:divsChild>
                                                                                                <w:div w:id="976449419">
                                                                                                  <w:marLeft w:val="0"/>
                                                                                                  <w:marRight w:val="0"/>
                                                                                                  <w:marTop w:val="15"/>
                                                                                                  <w:marBottom w:val="0"/>
                                                                                                  <w:divBdr>
                                                                                                    <w:top w:val="none" w:sz="0" w:space="0" w:color="auto"/>
                                                                                                    <w:left w:val="none" w:sz="0" w:space="0" w:color="auto"/>
                                                                                                    <w:bottom w:val="single" w:sz="6" w:space="15" w:color="auto"/>
                                                                                                    <w:right w:val="none" w:sz="0" w:space="0" w:color="auto"/>
                                                                                                  </w:divBdr>
                                                                                                  <w:divsChild>
                                                                                                    <w:div w:id="719129022">
                                                                                                      <w:marLeft w:val="900"/>
                                                                                                      <w:marRight w:val="0"/>
                                                                                                      <w:marTop w:val="180"/>
                                                                                                      <w:marBottom w:val="0"/>
                                                                                                      <w:divBdr>
                                                                                                        <w:top w:val="none" w:sz="0" w:space="0" w:color="auto"/>
                                                                                                        <w:left w:val="none" w:sz="0" w:space="0" w:color="auto"/>
                                                                                                        <w:bottom w:val="none" w:sz="0" w:space="0" w:color="auto"/>
                                                                                                        <w:right w:val="none" w:sz="0" w:space="0" w:color="auto"/>
                                                                                                      </w:divBdr>
                                                                                                      <w:divsChild>
                                                                                                        <w:div w:id="729500672">
                                                                                                          <w:marLeft w:val="0"/>
                                                                                                          <w:marRight w:val="0"/>
                                                                                                          <w:marTop w:val="0"/>
                                                                                                          <w:marBottom w:val="0"/>
                                                                                                          <w:divBdr>
                                                                                                            <w:top w:val="none" w:sz="0" w:space="0" w:color="auto"/>
                                                                                                            <w:left w:val="none" w:sz="0" w:space="0" w:color="auto"/>
                                                                                                            <w:bottom w:val="none" w:sz="0" w:space="0" w:color="auto"/>
                                                                                                            <w:right w:val="none" w:sz="0" w:space="0" w:color="auto"/>
                                                                                                          </w:divBdr>
                                                                                                          <w:divsChild>
                                                                                                            <w:div w:id="1169102767">
                                                                                                              <w:marLeft w:val="0"/>
                                                                                                              <w:marRight w:val="0"/>
                                                                                                              <w:marTop w:val="0"/>
                                                                                                              <w:marBottom w:val="0"/>
                                                                                                              <w:divBdr>
                                                                                                                <w:top w:val="none" w:sz="0" w:space="0" w:color="auto"/>
                                                                                                                <w:left w:val="none" w:sz="0" w:space="0" w:color="auto"/>
                                                                                                                <w:bottom w:val="none" w:sz="0" w:space="0" w:color="auto"/>
                                                                                                                <w:right w:val="none" w:sz="0" w:space="0" w:color="auto"/>
                                                                                                              </w:divBdr>
                                                                                                              <w:divsChild>
                                                                                                                <w:div w:id="1074202136">
                                                                                                                  <w:marLeft w:val="0"/>
                                                                                                                  <w:marRight w:val="0"/>
                                                                                                                  <w:marTop w:val="30"/>
                                                                                                                  <w:marBottom w:val="0"/>
                                                                                                                  <w:divBdr>
                                                                                                                    <w:top w:val="none" w:sz="0" w:space="0" w:color="auto"/>
                                                                                                                    <w:left w:val="none" w:sz="0" w:space="0" w:color="auto"/>
                                                                                                                    <w:bottom w:val="none" w:sz="0" w:space="0" w:color="auto"/>
                                                                                                                    <w:right w:val="none" w:sz="0" w:space="0" w:color="auto"/>
                                                                                                                  </w:divBdr>
                                                                                                                  <w:divsChild>
                                                                                                                    <w:div w:id="984504858">
                                                                                                                      <w:marLeft w:val="0"/>
                                                                                                                      <w:marRight w:val="0"/>
                                                                                                                      <w:marTop w:val="0"/>
                                                                                                                      <w:marBottom w:val="0"/>
                                                                                                                      <w:divBdr>
                                                                                                                        <w:top w:val="none" w:sz="0" w:space="0" w:color="auto"/>
                                                                                                                        <w:left w:val="none" w:sz="0" w:space="0" w:color="auto"/>
                                                                                                                        <w:bottom w:val="none" w:sz="0" w:space="0" w:color="auto"/>
                                                                                                                        <w:right w:val="none" w:sz="0" w:space="0" w:color="auto"/>
                                                                                                                      </w:divBdr>
                                                                                                                      <w:divsChild>
                                                                                                                        <w:div w:id="795492798">
                                                                                                                          <w:marLeft w:val="0"/>
                                                                                                                          <w:marRight w:val="0"/>
                                                                                                                          <w:marTop w:val="0"/>
                                                                                                                          <w:marBottom w:val="0"/>
                                                                                                                          <w:divBdr>
                                                                                                                            <w:top w:val="none" w:sz="0" w:space="0" w:color="auto"/>
                                                                                                                            <w:left w:val="none" w:sz="0" w:space="0" w:color="auto"/>
                                                                                                                            <w:bottom w:val="none" w:sz="0" w:space="0" w:color="auto"/>
                                                                                                                            <w:right w:val="none" w:sz="0" w:space="0" w:color="auto"/>
                                                                                                                          </w:divBdr>
                                                                                                                          <w:divsChild>
                                                                                                                            <w:div w:id="446507916">
                                                                                                                              <w:marLeft w:val="0"/>
                                                                                                                              <w:marRight w:val="0"/>
                                                                                                                              <w:marTop w:val="0"/>
                                                                                                                              <w:marBottom w:val="0"/>
                                                                                                                              <w:divBdr>
                                                                                                                                <w:top w:val="none" w:sz="0" w:space="0" w:color="auto"/>
                                                                                                                                <w:left w:val="none" w:sz="0" w:space="0" w:color="auto"/>
                                                                                                                                <w:bottom w:val="none" w:sz="0" w:space="0" w:color="auto"/>
                                                                                                                                <w:right w:val="none" w:sz="0" w:space="0" w:color="auto"/>
                                                                                                                              </w:divBdr>
                                                                                                                              <w:divsChild>
                                                                                                                                <w:div w:id="868420302">
                                                                                                                                  <w:marLeft w:val="0"/>
                                                                                                                                  <w:marRight w:val="0"/>
                                                                                                                                  <w:marTop w:val="0"/>
                                                                                                                                  <w:marBottom w:val="0"/>
                                                                                                                                  <w:divBdr>
                                                                                                                                    <w:top w:val="none" w:sz="0" w:space="0" w:color="auto"/>
                                                                                                                                    <w:left w:val="none" w:sz="0" w:space="0" w:color="auto"/>
                                                                                                                                    <w:bottom w:val="none" w:sz="0" w:space="0" w:color="auto"/>
                                                                                                                                    <w:right w:val="none" w:sz="0" w:space="0" w:color="auto"/>
                                                                                                                                  </w:divBdr>
                                                                                                                                  <w:divsChild>
                                                                                                                                    <w:div w:id="1225409331">
                                                                                                                                      <w:marLeft w:val="0"/>
                                                                                                                                      <w:marRight w:val="0"/>
                                                                                                                                      <w:marTop w:val="0"/>
                                                                                                                                      <w:marBottom w:val="0"/>
                                                                                                                                      <w:divBdr>
                                                                                                                                        <w:top w:val="none" w:sz="0" w:space="0" w:color="auto"/>
                                                                                                                                        <w:left w:val="none" w:sz="0" w:space="0" w:color="auto"/>
                                                                                                                                        <w:bottom w:val="none" w:sz="0" w:space="0" w:color="auto"/>
                                                                                                                                        <w:right w:val="none" w:sz="0" w:space="0" w:color="auto"/>
                                                                                                                                      </w:divBdr>
                                                                                                                                      <w:divsChild>
                                                                                                                                        <w:div w:id="333261109">
                                                                                                                                          <w:marLeft w:val="0"/>
                                                                                                                                          <w:marRight w:val="0"/>
                                                                                                                                          <w:marTop w:val="0"/>
                                                                                                                                          <w:marBottom w:val="0"/>
                                                                                                                                          <w:divBdr>
                                                                                                                                            <w:top w:val="none" w:sz="0" w:space="0" w:color="auto"/>
                                                                                                                                            <w:left w:val="none" w:sz="0" w:space="0" w:color="auto"/>
                                                                                                                                            <w:bottom w:val="none" w:sz="0" w:space="0" w:color="auto"/>
                                                                                                                                            <w:right w:val="none" w:sz="0" w:space="0" w:color="auto"/>
                                                                                                                                          </w:divBdr>
                                                                                                                                        </w:div>
                                                                                                                                        <w:div w:id="1757554160">
                                                                                                                                          <w:marLeft w:val="0"/>
                                                                                                                                          <w:marRight w:val="0"/>
                                                                                                                                          <w:marTop w:val="0"/>
                                                                                                                                          <w:marBottom w:val="0"/>
                                                                                                                                          <w:divBdr>
                                                                                                                                            <w:top w:val="none" w:sz="0" w:space="0" w:color="auto"/>
                                                                                                                                            <w:left w:val="none" w:sz="0" w:space="0" w:color="auto"/>
                                                                                                                                            <w:bottom w:val="none" w:sz="0" w:space="0" w:color="auto"/>
                                                                                                                                            <w:right w:val="none" w:sz="0" w:space="0" w:color="auto"/>
                                                                                                                                          </w:divBdr>
                                                                                                                                        </w:div>
                                                                                                                                        <w:div w:id="1904245020">
                                                                                                                                          <w:marLeft w:val="0"/>
                                                                                                                                          <w:marRight w:val="0"/>
                                                                                                                                          <w:marTop w:val="0"/>
                                                                                                                                          <w:marBottom w:val="0"/>
                                                                                                                                          <w:divBdr>
                                                                                                                                            <w:top w:val="none" w:sz="0" w:space="0" w:color="auto"/>
                                                                                                                                            <w:left w:val="none" w:sz="0" w:space="0" w:color="auto"/>
                                                                                                                                            <w:bottom w:val="none" w:sz="0" w:space="0" w:color="auto"/>
                                                                                                                                            <w:right w:val="none" w:sz="0" w:space="0" w:color="auto"/>
                                                                                                                                          </w:divBdr>
                                                                                                                                        </w:div>
                                                                                                                                      </w:divsChild>
                                                                                                                                    </w:div>
                                                                                                                                    <w:div w:id="47750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2633583">
      <w:bodyDiv w:val="1"/>
      <w:marLeft w:val="0"/>
      <w:marRight w:val="0"/>
      <w:marTop w:val="0"/>
      <w:marBottom w:val="0"/>
      <w:divBdr>
        <w:top w:val="none" w:sz="0" w:space="0" w:color="auto"/>
        <w:left w:val="none" w:sz="0" w:space="0" w:color="auto"/>
        <w:bottom w:val="none" w:sz="0" w:space="0" w:color="auto"/>
        <w:right w:val="none" w:sz="0" w:space="0" w:color="auto"/>
      </w:divBdr>
      <w:divsChild>
        <w:div w:id="1448424237">
          <w:marLeft w:val="0"/>
          <w:marRight w:val="0"/>
          <w:marTop w:val="0"/>
          <w:marBottom w:val="0"/>
          <w:divBdr>
            <w:top w:val="none" w:sz="0" w:space="0" w:color="auto"/>
            <w:left w:val="none" w:sz="0" w:space="0" w:color="auto"/>
            <w:bottom w:val="none" w:sz="0" w:space="0" w:color="auto"/>
            <w:right w:val="none" w:sz="0" w:space="0" w:color="auto"/>
          </w:divBdr>
          <w:divsChild>
            <w:div w:id="104733013">
              <w:marLeft w:val="0"/>
              <w:marRight w:val="0"/>
              <w:marTop w:val="150"/>
              <w:marBottom w:val="0"/>
              <w:divBdr>
                <w:top w:val="none" w:sz="0" w:space="0" w:color="auto"/>
                <w:left w:val="none" w:sz="0" w:space="0" w:color="auto"/>
                <w:bottom w:val="none" w:sz="0" w:space="0" w:color="auto"/>
                <w:right w:val="none" w:sz="0" w:space="0" w:color="auto"/>
              </w:divBdr>
              <w:divsChild>
                <w:div w:id="1104961006">
                  <w:marLeft w:val="0"/>
                  <w:marRight w:val="0"/>
                  <w:marTop w:val="0"/>
                  <w:marBottom w:val="0"/>
                  <w:divBdr>
                    <w:top w:val="none" w:sz="0" w:space="0" w:color="auto"/>
                    <w:left w:val="none" w:sz="0" w:space="0" w:color="auto"/>
                    <w:bottom w:val="none" w:sz="0" w:space="0" w:color="auto"/>
                    <w:right w:val="none" w:sz="0" w:space="0" w:color="auto"/>
                  </w:divBdr>
                  <w:divsChild>
                    <w:div w:id="1344626142">
                      <w:marLeft w:val="0"/>
                      <w:marRight w:val="0"/>
                      <w:marTop w:val="0"/>
                      <w:marBottom w:val="0"/>
                      <w:divBdr>
                        <w:top w:val="none" w:sz="0" w:space="0" w:color="auto"/>
                        <w:left w:val="none" w:sz="0" w:space="0" w:color="auto"/>
                        <w:bottom w:val="none" w:sz="0" w:space="0" w:color="auto"/>
                        <w:right w:val="none" w:sz="0" w:space="0" w:color="auto"/>
                      </w:divBdr>
                      <w:divsChild>
                        <w:div w:id="1326664938">
                          <w:marLeft w:val="0"/>
                          <w:marRight w:val="0"/>
                          <w:marTop w:val="0"/>
                          <w:marBottom w:val="0"/>
                          <w:divBdr>
                            <w:top w:val="none" w:sz="0" w:space="0" w:color="auto"/>
                            <w:left w:val="none" w:sz="0" w:space="0" w:color="auto"/>
                            <w:bottom w:val="none" w:sz="0" w:space="0" w:color="auto"/>
                            <w:right w:val="none" w:sz="0" w:space="0" w:color="auto"/>
                          </w:divBdr>
                          <w:divsChild>
                            <w:div w:id="791171036">
                              <w:marLeft w:val="0"/>
                              <w:marRight w:val="0"/>
                              <w:marTop w:val="0"/>
                              <w:marBottom w:val="0"/>
                              <w:divBdr>
                                <w:top w:val="none" w:sz="0" w:space="0" w:color="auto"/>
                                <w:left w:val="none" w:sz="0" w:space="0" w:color="auto"/>
                                <w:bottom w:val="none" w:sz="0" w:space="0" w:color="auto"/>
                                <w:right w:val="none" w:sz="0" w:space="0" w:color="auto"/>
                              </w:divBdr>
                              <w:divsChild>
                                <w:div w:id="566382889">
                                  <w:marLeft w:val="0"/>
                                  <w:marRight w:val="0"/>
                                  <w:marTop w:val="0"/>
                                  <w:marBottom w:val="0"/>
                                  <w:divBdr>
                                    <w:top w:val="none" w:sz="0" w:space="0" w:color="auto"/>
                                    <w:left w:val="none" w:sz="0" w:space="0" w:color="auto"/>
                                    <w:bottom w:val="none" w:sz="0" w:space="0" w:color="auto"/>
                                    <w:right w:val="none" w:sz="0" w:space="0" w:color="auto"/>
                                  </w:divBdr>
                                  <w:divsChild>
                                    <w:div w:id="1365325749">
                                      <w:marLeft w:val="0"/>
                                      <w:marRight w:val="0"/>
                                      <w:marTop w:val="0"/>
                                      <w:marBottom w:val="0"/>
                                      <w:divBdr>
                                        <w:top w:val="none" w:sz="0" w:space="0" w:color="auto"/>
                                        <w:left w:val="none" w:sz="0" w:space="0" w:color="auto"/>
                                        <w:bottom w:val="none" w:sz="0" w:space="0" w:color="auto"/>
                                        <w:right w:val="none" w:sz="0" w:space="0" w:color="auto"/>
                                      </w:divBdr>
                                      <w:divsChild>
                                        <w:div w:id="18511536">
                                          <w:marLeft w:val="0"/>
                                          <w:marRight w:val="0"/>
                                          <w:marTop w:val="0"/>
                                          <w:marBottom w:val="0"/>
                                          <w:divBdr>
                                            <w:top w:val="none" w:sz="0" w:space="0" w:color="auto"/>
                                            <w:left w:val="none" w:sz="0" w:space="0" w:color="auto"/>
                                            <w:bottom w:val="none" w:sz="0" w:space="0" w:color="auto"/>
                                            <w:right w:val="none" w:sz="0" w:space="0" w:color="auto"/>
                                          </w:divBdr>
                                        </w:div>
                                        <w:div w:id="1993218354">
                                          <w:marLeft w:val="0"/>
                                          <w:marRight w:val="0"/>
                                          <w:marTop w:val="0"/>
                                          <w:marBottom w:val="0"/>
                                          <w:divBdr>
                                            <w:top w:val="none" w:sz="0" w:space="0" w:color="auto"/>
                                            <w:left w:val="none" w:sz="0" w:space="0" w:color="auto"/>
                                            <w:bottom w:val="none" w:sz="0" w:space="0" w:color="auto"/>
                                            <w:right w:val="none" w:sz="0" w:space="0" w:color="auto"/>
                                          </w:divBdr>
                                        </w:div>
                                        <w:div w:id="580798369">
                                          <w:marLeft w:val="0"/>
                                          <w:marRight w:val="0"/>
                                          <w:marTop w:val="0"/>
                                          <w:marBottom w:val="0"/>
                                          <w:divBdr>
                                            <w:top w:val="none" w:sz="0" w:space="0" w:color="auto"/>
                                            <w:left w:val="none" w:sz="0" w:space="0" w:color="auto"/>
                                            <w:bottom w:val="none" w:sz="0" w:space="0" w:color="auto"/>
                                            <w:right w:val="none" w:sz="0" w:space="0" w:color="auto"/>
                                          </w:divBdr>
                                        </w:div>
                                        <w:div w:id="2044935210">
                                          <w:marLeft w:val="0"/>
                                          <w:marRight w:val="0"/>
                                          <w:marTop w:val="0"/>
                                          <w:marBottom w:val="0"/>
                                          <w:divBdr>
                                            <w:top w:val="none" w:sz="0" w:space="0" w:color="auto"/>
                                            <w:left w:val="none" w:sz="0" w:space="0" w:color="auto"/>
                                            <w:bottom w:val="none" w:sz="0" w:space="0" w:color="auto"/>
                                            <w:right w:val="none" w:sz="0" w:space="0" w:color="auto"/>
                                          </w:divBdr>
                                        </w:div>
                                        <w:div w:id="1055006366">
                                          <w:marLeft w:val="0"/>
                                          <w:marRight w:val="0"/>
                                          <w:marTop w:val="0"/>
                                          <w:marBottom w:val="0"/>
                                          <w:divBdr>
                                            <w:top w:val="none" w:sz="0" w:space="0" w:color="auto"/>
                                            <w:left w:val="none" w:sz="0" w:space="0" w:color="auto"/>
                                            <w:bottom w:val="none" w:sz="0" w:space="0" w:color="auto"/>
                                            <w:right w:val="none" w:sz="0" w:space="0" w:color="auto"/>
                                          </w:divBdr>
                                        </w:div>
                                        <w:div w:id="598022328">
                                          <w:marLeft w:val="0"/>
                                          <w:marRight w:val="0"/>
                                          <w:marTop w:val="0"/>
                                          <w:marBottom w:val="0"/>
                                          <w:divBdr>
                                            <w:top w:val="none" w:sz="0" w:space="0" w:color="auto"/>
                                            <w:left w:val="none" w:sz="0" w:space="0" w:color="auto"/>
                                            <w:bottom w:val="none" w:sz="0" w:space="0" w:color="auto"/>
                                            <w:right w:val="none" w:sz="0" w:space="0" w:color="auto"/>
                                          </w:divBdr>
                                        </w:div>
                                        <w:div w:id="1319072886">
                                          <w:marLeft w:val="0"/>
                                          <w:marRight w:val="0"/>
                                          <w:marTop w:val="0"/>
                                          <w:marBottom w:val="0"/>
                                          <w:divBdr>
                                            <w:top w:val="none" w:sz="0" w:space="0" w:color="auto"/>
                                            <w:left w:val="none" w:sz="0" w:space="0" w:color="auto"/>
                                            <w:bottom w:val="none" w:sz="0" w:space="0" w:color="auto"/>
                                            <w:right w:val="none" w:sz="0" w:space="0" w:color="auto"/>
                                          </w:divBdr>
                                        </w:div>
                                        <w:div w:id="1811364990">
                                          <w:marLeft w:val="0"/>
                                          <w:marRight w:val="0"/>
                                          <w:marTop w:val="0"/>
                                          <w:marBottom w:val="0"/>
                                          <w:divBdr>
                                            <w:top w:val="none" w:sz="0" w:space="0" w:color="auto"/>
                                            <w:left w:val="none" w:sz="0" w:space="0" w:color="auto"/>
                                            <w:bottom w:val="none" w:sz="0" w:space="0" w:color="auto"/>
                                            <w:right w:val="none" w:sz="0" w:space="0" w:color="auto"/>
                                          </w:divBdr>
                                        </w:div>
                                        <w:div w:id="925378786">
                                          <w:marLeft w:val="0"/>
                                          <w:marRight w:val="0"/>
                                          <w:marTop w:val="0"/>
                                          <w:marBottom w:val="0"/>
                                          <w:divBdr>
                                            <w:top w:val="none" w:sz="0" w:space="0" w:color="auto"/>
                                            <w:left w:val="none" w:sz="0" w:space="0" w:color="auto"/>
                                            <w:bottom w:val="none" w:sz="0" w:space="0" w:color="auto"/>
                                            <w:right w:val="none" w:sz="0" w:space="0" w:color="auto"/>
                                          </w:divBdr>
                                        </w:div>
                                        <w:div w:id="100614224">
                                          <w:marLeft w:val="0"/>
                                          <w:marRight w:val="0"/>
                                          <w:marTop w:val="0"/>
                                          <w:marBottom w:val="0"/>
                                          <w:divBdr>
                                            <w:top w:val="none" w:sz="0" w:space="0" w:color="auto"/>
                                            <w:left w:val="none" w:sz="0" w:space="0" w:color="auto"/>
                                            <w:bottom w:val="none" w:sz="0" w:space="0" w:color="auto"/>
                                            <w:right w:val="none" w:sz="0" w:space="0" w:color="auto"/>
                                          </w:divBdr>
                                        </w:div>
                                        <w:div w:id="1186014551">
                                          <w:marLeft w:val="0"/>
                                          <w:marRight w:val="0"/>
                                          <w:marTop w:val="0"/>
                                          <w:marBottom w:val="0"/>
                                          <w:divBdr>
                                            <w:top w:val="none" w:sz="0" w:space="0" w:color="auto"/>
                                            <w:left w:val="none" w:sz="0" w:space="0" w:color="auto"/>
                                            <w:bottom w:val="none" w:sz="0" w:space="0" w:color="auto"/>
                                            <w:right w:val="none" w:sz="0" w:space="0" w:color="auto"/>
                                          </w:divBdr>
                                        </w:div>
                                        <w:div w:id="242833931">
                                          <w:marLeft w:val="0"/>
                                          <w:marRight w:val="0"/>
                                          <w:marTop w:val="0"/>
                                          <w:marBottom w:val="0"/>
                                          <w:divBdr>
                                            <w:top w:val="none" w:sz="0" w:space="0" w:color="auto"/>
                                            <w:left w:val="none" w:sz="0" w:space="0" w:color="auto"/>
                                            <w:bottom w:val="none" w:sz="0" w:space="0" w:color="auto"/>
                                            <w:right w:val="none" w:sz="0" w:space="0" w:color="auto"/>
                                          </w:divBdr>
                                        </w:div>
                                        <w:div w:id="41246359">
                                          <w:marLeft w:val="0"/>
                                          <w:marRight w:val="0"/>
                                          <w:marTop w:val="0"/>
                                          <w:marBottom w:val="0"/>
                                          <w:divBdr>
                                            <w:top w:val="none" w:sz="0" w:space="0" w:color="auto"/>
                                            <w:left w:val="none" w:sz="0" w:space="0" w:color="auto"/>
                                            <w:bottom w:val="none" w:sz="0" w:space="0" w:color="auto"/>
                                            <w:right w:val="none" w:sz="0" w:space="0" w:color="auto"/>
                                          </w:divBdr>
                                        </w:div>
                                        <w:div w:id="1812939345">
                                          <w:marLeft w:val="0"/>
                                          <w:marRight w:val="0"/>
                                          <w:marTop w:val="0"/>
                                          <w:marBottom w:val="0"/>
                                          <w:divBdr>
                                            <w:top w:val="none" w:sz="0" w:space="0" w:color="auto"/>
                                            <w:left w:val="none" w:sz="0" w:space="0" w:color="auto"/>
                                            <w:bottom w:val="none" w:sz="0" w:space="0" w:color="auto"/>
                                            <w:right w:val="none" w:sz="0" w:space="0" w:color="auto"/>
                                          </w:divBdr>
                                        </w:div>
                                        <w:div w:id="1185290437">
                                          <w:marLeft w:val="0"/>
                                          <w:marRight w:val="0"/>
                                          <w:marTop w:val="0"/>
                                          <w:marBottom w:val="0"/>
                                          <w:divBdr>
                                            <w:top w:val="none" w:sz="0" w:space="0" w:color="auto"/>
                                            <w:left w:val="none" w:sz="0" w:space="0" w:color="auto"/>
                                            <w:bottom w:val="none" w:sz="0" w:space="0" w:color="auto"/>
                                            <w:right w:val="none" w:sz="0" w:space="0" w:color="auto"/>
                                          </w:divBdr>
                                        </w:div>
                                        <w:div w:id="1370060066">
                                          <w:marLeft w:val="0"/>
                                          <w:marRight w:val="0"/>
                                          <w:marTop w:val="0"/>
                                          <w:marBottom w:val="0"/>
                                          <w:divBdr>
                                            <w:top w:val="none" w:sz="0" w:space="0" w:color="auto"/>
                                            <w:left w:val="none" w:sz="0" w:space="0" w:color="auto"/>
                                            <w:bottom w:val="none" w:sz="0" w:space="0" w:color="auto"/>
                                            <w:right w:val="none" w:sz="0" w:space="0" w:color="auto"/>
                                          </w:divBdr>
                                        </w:div>
                                        <w:div w:id="1171799217">
                                          <w:marLeft w:val="0"/>
                                          <w:marRight w:val="0"/>
                                          <w:marTop w:val="0"/>
                                          <w:marBottom w:val="0"/>
                                          <w:divBdr>
                                            <w:top w:val="none" w:sz="0" w:space="0" w:color="auto"/>
                                            <w:left w:val="none" w:sz="0" w:space="0" w:color="auto"/>
                                            <w:bottom w:val="none" w:sz="0" w:space="0" w:color="auto"/>
                                            <w:right w:val="none" w:sz="0" w:space="0" w:color="auto"/>
                                          </w:divBdr>
                                        </w:div>
                                        <w:div w:id="1536500663">
                                          <w:marLeft w:val="0"/>
                                          <w:marRight w:val="0"/>
                                          <w:marTop w:val="0"/>
                                          <w:marBottom w:val="0"/>
                                          <w:divBdr>
                                            <w:top w:val="none" w:sz="0" w:space="0" w:color="auto"/>
                                            <w:left w:val="none" w:sz="0" w:space="0" w:color="auto"/>
                                            <w:bottom w:val="none" w:sz="0" w:space="0" w:color="auto"/>
                                            <w:right w:val="none" w:sz="0" w:space="0" w:color="auto"/>
                                          </w:divBdr>
                                        </w:div>
                                        <w:div w:id="631981265">
                                          <w:marLeft w:val="0"/>
                                          <w:marRight w:val="0"/>
                                          <w:marTop w:val="0"/>
                                          <w:marBottom w:val="0"/>
                                          <w:divBdr>
                                            <w:top w:val="none" w:sz="0" w:space="0" w:color="auto"/>
                                            <w:left w:val="none" w:sz="0" w:space="0" w:color="auto"/>
                                            <w:bottom w:val="none" w:sz="0" w:space="0" w:color="auto"/>
                                            <w:right w:val="none" w:sz="0" w:space="0" w:color="auto"/>
                                          </w:divBdr>
                                        </w:div>
                                        <w:div w:id="610671309">
                                          <w:marLeft w:val="0"/>
                                          <w:marRight w:val="0"/>
                                          <w:marTop w:val="0"/>
                                          <w:marBottom w:val="0"/>
                                          <w:divBdr>
                                            <w:top w:val="none" w:sz="0" w:space="0" w:color="auto"/>
                                            <w:left w:val="none" w:sz="0" w:space="0" w:color="auto"/>
                                            <w:bottom w:val="none" w:sz="0" w:space="0" w:color="auto"/>
                                            <w:right w:val="none" w:sz="0" w:space="0" w:color="auto"/>
                                          </w:divBdr>
                                        </w:div>
                                        <w:div w:id="815683000">
                                          <w:marLeft w:val="0"/>
                                          <w:marRight w:val="0"/>
                                          <w:marTop w:val="0"/>
                                          <w:marBottom w:val="0"/>
                                          <w:divBdr>
                                            <w:top w:val="none" w:sz="0" w:space="0" w:color="auto"/>
                                            <w:left w:val="none" w:sz="0" w:space="0" w:color="auto"/>
                                            <w:bottom w:val="none" w:sz="0" w:space="0" w:color="auto"/>
                                            <w:right w:val="none" w:sz="0" w:space="0" w:color="auto"/>
                                          </w:divBdr>
                                        </w:div>
                                        <w:div w:id="216363336">
                                          <w:marLeft w:val="0"/>
                                          <w:marRight w:val="0"/>
                                          <w:marTop w:val="0"/>
                                          <w:marBottom w:val="0"/>
                                          <w:divBdr>
                                            <w:top w:val="none" w:sz="0" w:space="0" w:color="auto"/>
                                            <w:left w:val="none" w:sz="0" w:space="0" w:color="auto"/>
                                            <w:bottom w:val="none" w:sz="0" w:space="0" w:color="auto"/>
                                            <w:right w:val="none" w:sz="0" w:space="0" w:color="auto"/>
                                          </w:divBdr>
                                        </w:div>
                                        <w:div w:id="2141921126">
                                          <w:marLeft w:val="0"/>
                                          <w:marRight w:val="0"/>
                                          <w:marTop w:val="0"/>
                                          <w:marBottom w:val="0"/>
                                          <w:divBdr>
                                            <w:top w:val="none" w:sz="0" w:space="0" w:color="auto"/>
                                            <w:left w:val="none" w:sz="0" w:space="0" w:color="auto"/>
                                            <w:bottom w:val="none" w:sz="0" w:space="0" w:color="auto"/>
                                            <w:right w:val="none" w:sz="0" w:space="0" w:color="auto"/>
                                          </w:divBdr>
                                        </w:div>
                                        <w:div w:id="349793802">
                                          <w:marLeft w:val="0"/>
                                          <w:marRight w:val="0"/>
                                          <w:marTop w:val="0"/>
                                          <w:marBottom w:val="0"/>
                                          <w:divBdr>
                                            <w:top w:val="none" w:sz="0" w:space="0" w:color="auto"/>
                                            <w:left w:val="none" w:sz="0" w:space="0" w:color="auto"/>
                                            <w:bottom w:val="none" w:sz="0" w:space="0" w:color="auto"/>
                                            <w:right w:val="none" w:sz="0" w:space="0" w:color="auto"/>
                                          </w:divBdr>
                                        </w:div>
                                        <w:div w:id="574631239">
                                          <w:marLeft w:val="0"/>
                                          <w:marRight w:val="0"/>
                                          <w:marTop w:val="0"/>
                                          <w:marBottom w:val="0"/>
                                          <w:divBdr>
                                            <w:top w:val="none" w:sz="0" w:space="0" w:color="auto"/>
                                            <w:left w:val="none" w:sz="0" w:space="0" w:color="auto"/>
                                            <w:bottom w:val="none" w:sz="0" w:space="0" w:color="auto"/>
                                            <w:right w:val="none" w:sz="0" w:space="0" w:color="auto"/>
                                          </w:divBdr>
                                        </w:div>
                                        <w:div w:id="450560044">
                                          <w:marLeft w:val="0"/>
                                          <w:marRight w:val="0"/>
                                          <w:marTop w:val="0"/>
                                          <w:marBottom w:val="0"/>
                                          <w:divBdr>
                                            <w:top w:val="none" w:sz="0" w:space="0" w:color="auto"/>
                                            <w:left w:val="none" w:sz="0" w:space="0" w:color="auto"/>
                                            <w:bottom w:val="none" w:sz="0" w:space="0" w:color="auto"/>
                                            <w:right w:val="none" w:sz="0" w:space="0" w:color="auto"/>
                                          </w:divBdr>
                                        </w:div>
                                        <w:div w:id="36425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2157</TotalTime>
  <Pages>8</Pages>
  <Words>2122</Words>
  <Characters>12096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 Pardo</dc:creator>
  <cp:keywords/>
  <dc:description/>
  <cp:lastModifiedBy>Mariana A Pardo</cp:lastModifiedBy>
  <cp:revision>17</cp:revision>
  <dcterms:created xsi:type="dcterms:W3CDTF">2017-08-18T17:10:00Z</dcterms:created>
  <dcterms:modified xsi:type="dcterms:W3CDTF">2017-08-22T22:41:00Z</dcterms:modified>
</cp:coreProperties>
</file>