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6E6" w:rsidRPr="008D30A4" w:rsidRDefault="00A47F15">
      <w:pPr>
        <w:rPr>
          <w:b/>
          <w:sz w:val="24"/>
          <w:szCs w:val="24"/>
        </w:rPr>
      </w:pPr>
      <w:r w:rsidRPr="008D30A4">
        <w:rPr>
          <w:b/>
          <w:sz w:val="24"/>
          <w:szCs w:val="24"/>
        </w:rPr>
        <w:t>Pathophysiology of Sepsis</w:t>
      </w:r>
    </w:p>
    <w:p w:rsidR="00316158" w:rsidRPr="00A47F15" w:rsidRDefault="0031615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FCE0E" wp14:editId="7570A1F6">
                <wp:simplePos x="0" y="0"/>
                <wp:positionH relativeFrom="column">
                  <wp:posOffset>-200025</wp:posOffset>
                </wp:positionH>
                <wp:positionV relativeFrom="paragraph">
                  <wp:posOffset>202565</wp:posOffset>
                </wp:positionV>
                <wp:extent cx="6172200" cy="28765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876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FC292" id="Rectangle 9" o:spid="_x0000_s1026" style="position:absolute;margin-left:-15.75pt;margin-top:15.95pt;width:486pt;height:22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" filled="f" strokecolor="black [3213]" strokeweight="1pt"/>
            </w:pict>
          </mc:Fallback>
        </mc:AlternateContent>
      </w:r>
    </w:p>
    <w:p w:rsidR="00A47F15" w:rsidRDefault="00A47F15" w:rsidP="00A47F15">
      <w:pPr>
        <w:jc w:val="center"/>
        <w:rPr>
          <w:b/>
        </w:rPr>
      </w:pPr>
      <w:r w:rsidRPr="00A47F15">
        <w:rPr>
          <w:b/>
        </w:rPr>
        <w:t>Key Points</w:t>
      </w:r>
    </w:p>
    <w:p w:rsidR="00A47F15" w:rsidRPr="00852C69" w:rsidRDefault="00A47F15" w:rsidP="00E52DBE">
      <w:pPr>
        <w:pStyle w:val="ListParagraph"/>
        <w:numPr>
          <w:ilvl w:val="0"/>
          <w:numId w:val="1"/>
        </w:numPr>
        <w:jc w:val="both"/>
      </w:pPr>
      <w:r>
        <w:t xml:space="preserve">Sepsis </w:t>
      </w:r>
      <w:r w:rsidRPr="00A47F15">
        <w:rPr>
          <w:rFonts w:eastAsia="Times New Roman" w:cs="Arial"/>
        </w:rPr>
        <w:t>is a life-threatening organ dysfunction caused by a dysregulated host response to infection</w:t>
      </w:r>
    </w:p>
    <w:p w:rsidR="00852C69" w:rsidRDefault="00852C69" w:rsidP="00E52DBE">
      <w:pPr>
        <w:pStyle w:val="ListParagraph"/>
        <w:ind w:left="360"/>
        <w:jc w:val="both"/>
      </w:pPr>
    </w:p>
    <w:p w:rsidR="00852C69" w:rsidRDefault="00852C69" w:rsidP="00E52DBE">
      <w:pPr>
        <w:pStyle w:val="ListParagraph"/>
        <w:numPr>
          <w:ilvl w:val="0"/>
          <w:numId w:val="1"/>
        </w:numPr>
        <w:jc w:val="both"/>
      </w:pPr>
      <w:r>
        <w:t>Alterations in the regulation of vasomotor tone, increased vascular permeability, dysfunctional microcirculation, and coagulation abnormalities are hallmarks of sepsis</w:t>
      </w:r>
    </w:p>
    <w:p w:rsidR="00852C69" w:rsidRDefault="00852C69" w:rsidP="00E52DBE">
      <w:pPr>
        <w:pStyle w:val="ListParagraph"/>
        <w:ind w:left="360"/>
        <w:jc w:val="both"/>
      </w:pPr>
    </w:p>
    <w:p w:rsidR="00852C69" w:rsidRDefault="00852C69" w:rsidP="00E52DBE">
      <w:pPr>
        <w:pStyle w:val="ListParagraph"/>
        <w:numPr>
          <w:ilvl w:val="0"/>
          <w:numId w:val="1"/>
        </w:numPr>
        <w:jc w:val="both"/>
      </w:pPr>
      <w:r>
        <w:t xml:space="preserve">Microcirculatory abnormalities are often present in the face of normal </w:t>
      </w:r>
      <w:proofErr w:type="spellStart"/>
      <w:r>
        <w:t>macrohemodynamics</w:t>
      </w:r>
      <w:proofErr w:type="spellEnd"/>
    </w:p>
    <w:p w:rsidR="00467382" w:rsidRDefault="00467382" w:rsidP="00E52DBE">
      <w:pPr>
        <w:pStyle w:val="ListParagraph"/>
        <w:jc w:val="both"/>
      </w:pPr>
    </w:p>
    <w:p w:rsidR="00467382" w:rsidRDefault="00467382" w:rsidP="00E52DBE">
      <w:pPr>
        <w:pStyle w:val="ListParagraph"/>
        <w:numPr>
          <w:ilvl w:val="0"/>
          <w:numId w:val="1"/>
        </w:numPr>
        <w:jc w:val="both"/>
      </w:pPr>
      <w:r>
        <w:t>Septic shock is a subset of sepsis in which underlying circulatory and cellular/metabolic abnormalities are profound enough to s</w:t>
      </w:r>
      <w:r w:rsidR="00316158">
        <w:t>ubstantially increase mortality</w:t>
      </w:r>
    </w:p>
    <w:p w:rsidR="00467382" w:rsidRDefault="00467382" w:rsidP="00E52DBE">
      <w:pPr>
        <w:pStyle w:val="ListParagraph"/>
        <w:ind w:left="360"/>
        <w:jc w:val="both"/>
      </w:pPr>
    </w:p>
    <w:p w:rsidR="00467382" w:rsidRPr="00A47F15" w:rsidRDefault="00467382" w:rsidP="00E52DBE">
      <w:pPr>
        <w:pStyle w:val="ListParagraph"/>
        <w:numPr>
          <w:ilvl w:val="0"/>
          <w:numId w:val="1"/>
        </w:numPr>
        <w:jc w:val="both"/>
      </w:pPr>
      <w:r>
        <w:t>Patients with sept</w:t>
      </w:r>
      <w:r w:rsidR="00316158">
        <w:t>ic shock can be identified by</w:t>
      </w:r>
      <w:r>
        <w:t xml:space="preserve"> persisting hypotension requiring vasopressors to maintain MAP ≥65 mm Hg and having a serum lactate level &gt;2 </w:t>
      </w:r>
      <w:proofErr w:type="spellStart"/>
      <w:r>
        <w:t>mmol</w:t>
      </w:r>
      <w:proofErr w:type="spellEnd"/>
      <w:r>
        <w:t>/L despite</w:t>
      </w:r>
      <w:r w:rsidR="00316158">
        <w:t xml:space="preserve"> adequate volume resuscitation</w:t>
      </w:r>
    </w:p>
    <w:p w:rsidR="00B8620E" w:rsidRDefault="00B8620E" w:rsidP="00316158"/>
    <w:p w:rsidR="008D30A4" w:rsidRDefault="008D30A4" w:rsidP="00D55D66">
      <w:pPr>
        <w:rPr>
          <w:b/>
        </w:rPr>
      </w:pPr>
      <w:r>
        <w:rPr>
          <w:b/>
        </w:rPr>
        <w:t>Defining Sepsis in Veterinary Medicine</w:t>
      </w:r>
    </w:p>
    <w:p w:rsidR="008D30A4" w:rsidRDefault="00FC5C74" w:rsidP="00D55D66">
      <w:pPr>
        <w:rPr>
          <w:b/>
        </w:rPr>
      </w:pPr>
      <w:r w:rsidRPr="00FC5C7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986155</wp:posOffset>
                </wp:positionV>
                <wp:extent cx="887730" cy="314325"/>
                <wp:effectExtent l="0" t="0" r="7620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74" w:rsidRDefault="00FC5C74">
                            <w:r>
                              <w:t>+</w:t>
                            </w:r>
                            <w:r>
                              <w:t xml:space="preserve"> </w:t>
                            </w:r>
                            <w:r>
                              <w:t xml:space="preserve">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7pt;margin-top:77.65pt;width:69.9pt;height:24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" stroked="f">
                <v:textbox>
                  <w:txbxContent>
                    <w:p w:rsidR="00FC5C74" w:rsidRDefault="00FC5C74">
                      <w:r>
                        <w:t>+</w:t>
                      </w:r>
                      <w:r>
                        <w:t xml:space="preserve"> </w:t>
                      </w:r>
                      <w:r>
                        <w:t xml:space="preserve"> Infection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757555</wp:posOffset>
                </wp:positionV>
                <wp:extent cx="2381250" cy="7143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11AA0" id="Rectangle 11" o:spid="_x0000_s1026" style="position:absolute;margin-left:280.5pt;margin-top:59.65pt;width:187.5pt;height:5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" filled="f" strokecolor="black [3213]" strokeweight="1pt"/>
            </w:pict>
          </mc:Fallback>
        </mc:AlternateContent>
      </w:r>
      <w:r w:rsidR="008D30A4" w:rsidRPr="008D30A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843280</wp:posOffset>
                </wp:positionV>
                <wp:extent cx="14954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74" w:rsidRDefault="00FC5C74">
                            <w:r>
                              <w:t>Dogs 2/4 SIRS criteria</w:t>
                            </w:r>
                          </w:p>
                          <w:p w:rsidR="008D30A4" w:rsidRDefault="00FC5C74">
                            <w:r>
                              <w:t>Cats 3/4</w:t>
                            </w:r>
                            <w:r w:rsidR="0031175E">
                              <w:t>?</w:t>
                            </w:r>
                            <w:r>
                              <w:t xml:space="preserve"> SIRS criteria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83.5pt;margin-top:66.4pt;width:117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" stroked="f">
                <v:textbox style="mso-fit-shape-to-text:t">
                  <w:txbxContent>
                    <w:p w:rsidR="00FC5C74" w:rsidRDefault="00FC5C74">
                      <w:r>
                        <w:t>Dogs 2/4 SIRS criteria</w:t>
                      </w:r>
                    </w:p>
                    <w:p w:rsidR="008D30A4" w:rsidRDefault="00FC5C74">
                      <w:r>
                        <w:t>Cats 3/4</w:t>
                      </w:r>
                      <w:r w:rsidR="0031175E">
                        <w:t>?</w:t>
                      </w:r>
                      <w:r>
                        <w:t xml:space="preserve"> SIRS criteria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30A4">
        <w:rPr>
          <w:noProof/>
        </w:rPr>
        <w:drawing>
          <wp:inline distT="0" distB="0" distL="0" distR="0" wp14:anchorId="1CF1A0FF" wp14:editId="07F4CE48">
            <wp:extent cx="3376534" cy="1943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7778" cy="194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0A4" w:rsidRPr="00FC5C74" w:rsidRDefault="008D30A4" w:rsidP="00DB3182">
      <w:pPr>
        <w:pStyle w:val="ListParagraph"/>
        <w:rPr>
          <w:b/>
        </w:rPr>
      </w:pPr>
    </w:p>
    <w:tbl>
      <w:tblPr>
        <w:tblStyle w:val="ListTable7Colorful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5CA9" w:rsidTr="0021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:rsidR="003E5CA9" w:rsidRDefault="00BA50D4" w:rsidP="00D55D66">
            <w:pPr>
              <w:rPr>
                <w:b/>
              </w:rPr>
            </w:pPr>
            <w:r>
              <w:rPr>
                <w:b/>
              </w:rPr>
              <w:t>PIRO</w:t>
            </w:r>
          </w:p>
        </w:tc>
        <w:tc>
          <w:tcPr>
            <w:tcW w:w="4675" w:type="dxa"/>
          </w:tcPr>
          <w:p w:rsidR="003E5CA9" w:rsidRDefault="00BA50D4" w:rsidP="00D55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Staging System</w:t>
            </w:r>
          </w:p>
        </w:tc>
      </w:tr>
      <w:tr w:rsidR="00BA50D4" w:rsidTr="00217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A50D4" w:rsidRPr="00BA50D4" w:rsidRDefault="00BA50D4" w:rsidP="00BA50D4">
            <w:r w:rsidRPr="00BA50D4">
              <w:rPr>
                <w:b/>
              </w:rPr>
              <w:t>P</w:t>
            </w:r>
            <w:r w:rsidRPr="00BA50D4">
              <w:t>redisposition</w:t>
            </w:r>
          </w:p>
        </w:tc>
        <w:tc>
          <w:tcPr>
            <w:tcW w:w="4675" w:type="dxa"/>
          </w:tcPr>
          <w:p w:rsidR="00BA50D4" w:rsidRPr="00BA50D4" w:rsidRDefault="00BA50D4" w:rsidP="00BA5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50D4">
              <w:t>Genetics, gender, age, nutritional status, breed (</w:t>
            </w:r>
            <w:proofErr w:type="spellStart"/>
            <w:r w:rsidRPr="00BA50D4">
              <w:t>ie</w:t>
            </w:r>
            <w:proofErr w:type="spellEnd"/>
            <w:r w:rsidRPr="00BA50D4">
              <w:t>: Doberman, Rottweilers / Parvo)</w:t>
            </w:r>
          </w:p>
        </w:tc>
      </w:tr>
      <w:tr w:rsidR="00BA50D4" w:rsidTr="0021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A50D4" w:rsidRPr="00BA50D4" w:rsidRDefault="00BA50D4" w:rsidP="00BA50D4">
            <w:r w:rsidRPr="00BA50D4">
              <w:rPr>
                <w:b/>
              </w:rPr>
              <w:t>I</w:t>
            </w:r>
            <w:r w:rsidRPr="00BA50D4">
              <w:t>nfection</w:t>
            </w:r>
          </w:p>
        </w:tc>
        <w:tc>
          <w:tcPr>
            <w:tcW w:w="4675" w:type="dxa"/>
          </w:tcPr>
          <w:p w:rsidR="00BA50D4" w:rsidRPr="00BA50D4" w:rsidRDefault="00BA50D4" w:rsidP="00BA50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0D4">
              <w:t>Type and location of infection</w:t>
            </w:r>
          </w:p>
        </w:tc>
      </w:tr>
      <w:tr w:rsidR="00BA50D4" w:rsidTr="00217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A50D4" w:rsidRPr="00BA50D4" w:rsidRDefault="00BA50D4" w:rsidP="00BA50D4">
            <w:r w:rsidRPr="00BA50D4">
              <w:rPr>
                <w:b/>
              </w:rPr>
              <w:t>R</w:t>
            </w:r>
            <w:r w:rsidRPr="00BA50D4">
              <w:t>ecognize</w:t>
            </w:r>
          </w:p>
        </w:tc>
        <w:tc>
          <w:tcPr>
            <w:tcW w:w="4675" w:type="dxa"/>
          </w:tcPr>
          <w:p w:rsidR="00BA50D4" w:rsidRPr="00BA50D4" w:rsidRDefault="00BA50D4" w:rsidP="00BA5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50D4">
              <w:t>SIRS criteria, biomarkers,</w:t>
            </w:r>
          </w:p>
        </w:tc>
      </w:tr>
      <w:tr w:rsidR="00BA50D4" w:rsidTr="0021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A50D4" w:rsidRPr="00BA50D4" w:rsidRDefault="00BA50D4" w:rsidP="00BA50D4">
            <w:r w:rsidRPr="00BA50D4">
              <w:rPr>
                <w:b/>
              </w:rPr>
              <w:t>O</w:t>
            </w:r>
            <w:r w:rsidRPr="00BA50D4">
              <w:t>rgan Failure</w:t>
            </w:r>
          </w:p>
        </w:tc>
        <w:tc>
          <w:tcPr>
            <w:tcW w:w="4675" w:type="dxa"/>
          </w:tcPr>
          <w:p w:rsidR="00BA50D4" w:rsidRPr="00BA50D4" w:rsidRDefault="00BA50D4" w:rsidP="00BA50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0D4">
              <w:t>ARDS&lt; AKI</w:t>
            </w:r>
          </w:p>
        </w:tc>
      </w:tr>
    </w:tbl>
    <w:p w:rsidR="008D30A4" w:rsidRDefault="008D30A4" w:rsidP="00D55D66">
      <w:pPr>
        <w:rPr>
          <w:b/>
        </w:rPr>
      </w:pPr>
    </w:p>
    <w:p w:rsidR="008D30A4" w:rsidRDefault="008D30A4" w:rsidP="00D55D66">
      <w:pPr>
        <w:rPr>
          <w:b/>
        </w:rPr>
      </w:pPr>
    </w:p>
    <w:p w:rsidR="00DB3182" w:rsidRDefault="00DB3182" w:rsidP="00DB3182">
      <w:pPr>
        <w:rPr>
          <w:b/>
        </w:rPr>
      </w:pPr>
    </w:p>
    <w:p w:rsidR="00DB3182" w:rsidRDefault="00DB3182" w:rsidP="00DB3182">
      <w:pPr>
        <w:rPr>
          <w:b/>
        </w:rPr>
      </w:pPr>
      <w:r>
        <w:rPr>
          <w:b/>
        </w:rPr>
        <w:t xml:space="preserve">Cats: </w:t>
      </w:r>
    </w:p>
    <w:p w:rsidR="00DB3182" w:rsidRDefault="00DB3182" w:rsidP="00DB3182">
      <w:pPr>
        <w:pStyle w:val="ListParagraph"/>
        <w:numPr>
          <w:ilvl w:val="0"/>
          <w:numId w:val="3"/>
        </w:numPr>
      </w:pPr>
      <w:r w:rsidRPr="00FC5C74">
        <w:t xml:space="preserve">common </w:t>
      </w:r>
      <w:r>
        <w:t xml:space="preserve">clinical abnormalities </w:t>
      </w:r>
      <w:r w:rsidRPr="00FC5C74">
        <w:t xml:space="preserve">include </w:t>
      </w:r>
      <w:r>
        <w:t>lethargy,</w:t>
      </w:r>
      <w:r w:rsidRPr="00FC5C74">
        <w:t xml:space="preserve"> signs of diffuse abdominal pain, tachypnea, </w:t>
      </w:r>
      <w:r w:rsidRPr="004F07EF">
        <w:rPr>
          <w:b/>
        </w:rPr>
        <w:t>bradycardia</w:t>
      </w:r>
      <w:r w:rsidRPr="00FC5C74">
        <w:t>, weak pulses, anemia, hypoalbuminemia, hypothermia, and icterus</w:t>
      </w:r>
      <w:r>
        <w:t xml:space="preserve"> and 3/4 SIRS criteria should be used (Brady et al, 2000)</w:t>
      </w:r>
    </w:p>
    <w:p w:rsidR="00DB3182" w:rsidRDefault="00DB3182" w:rsidP="00DB3182">
      <w:pPr>
        <w:pStyle w:val="ListParagraph"/>
        <w:numPr>
          <w:ilvl w:val="1"/>
          <w:numId w:val="3"/>
        </w:numPr>
      </w:pPr>
      <w:r w:rsidRPr="004F07EF">
        <w:t>may not develop tachycardia in response to hypotension because of simultaneous baroreceptor stimulation of vagal and sympathetic fibers</w:t>
      </w:r>
    </w:p>
    <w:p w:rsidR="00DB3182" w:rsidRPr="00FC5C74" w:rsidRDefault="00DB3182" w:rsidP="00DB3182">
      <w:pPr>
        <w:pStyle w:val="ListParagraph"/>
        <w:numPr>
          <w:ilvl w:val="1"/>
          <w:numId w:val="3"/>
        </w:numPr>
      </w:pPr>
      <w:r>
        <w:t xml:space="preserve">Cats with induced </w:t>
      </w:r>
      <w:proofErr w:type="spellStart"/>
      <w:r>
        <w:t>endotoxemia</w:t>
      </w:r>
      <w:proofErr w:type="spellEnd"/>
      <w:r>
        <w:t xml:space="preserve"> -&gt;</w:t>
      </w:r>
      <w:r>
        <w:rPr>
          <w:rFonts w:cstheme="minorHAnsi"/>
        </w:rPr>
        <w:t>↓ L</w:t>
      </w:r>
      <w:r>
        <w:t xml:space="preserve"> ventricular contractility </w:t>
      </w:r>
      <w:r w:rsidRPr="004F07EF">
        <w:t xml:space="preserve">and </w:t>
      </w:r>
      <w:r>
        <w:rPr>
          <w:rFonts w:cstheme="minorHAnsi"/>
        </w:rPr>
        <w:t>↑ L</w:t>
      </w:r>
      <w:r w:rsidRPr="004F07EF">
        <w:t xml:space="preserve"> ventr</w:t>
      </w:r>
      <w:r>
        <w:t xml:space="preserve">icular end-diastolic pressure, </w:t>
      </w:r>
      <w:r>
        <w:rPr>
          <w:rFonts w:cstheme="minorHAnsi"/>
        </w:rPr>
        <w:t>↑</w:t>
      </w:r>
      <w:r w:rsidRPr="004F07EF">
        <w:t xml:space="preserve"> ventricular end-diastolic volume, </w:t>
      </w:r>
      <w:r>
        <w:t xml:space="preserve">results in stretch of L ventricular receptors -&gt; </w:t>
      </w:r>
      <w:r w:rsidRPr="004F07EF">
        <w:t>reflex bradyc</w:t>
      </w:r>
      <w:r>
        <w:t>ardia through vagal stimulation</w:t>
      </w:r>
    </w:p>
    <w:p w:rsidR="008D30A4" w:rsidRPr="00DB3182" w:rsidRDefault="00DB3182" w:rsidP="00DB3182">
      <w:pPr>
        <w:pStyle w:val="ListParagraph"/>
        <w:numPr>
          <w:ilvl w:val="0"/>
          <w:numId w:val="3"/>
        </w:numPr>
        <w:rPr>
          <w:b/>
        </w:rPr>
      </w:pPr>
      <w:r>
        <w:t xml:space="preserve">&gt; </w:t>
      </w:r>
      <w:r w:rsidRPr="00FC5C74">
        <w:t>likely to have band neutrophilia and hypoalbuminemia</w:t>
      </w:r>
      <w:r>
        <w:t>, hypochloremia is a negative prognostic indicator (</w:t>
      </w:r>
      <w:proofErr w:type="spellStart"/>
      <w:r>
        <w:t>Declue</w:t>
      </w:r>
      <w:proofErr w:type="spellEnd"/>
      <w:r>
        <w:t xml:space="preserve"> et al, 2011)</w:t>
      </w:r>
    </w:p>
    <w:p w:rsidR="008D30A4" w:rsidRDefault="008D30A4" w:rsidP="00D55D66">
      <w:pPr>
        <w:rPr>
          <w:b/>
        </w:rPr>
      </w:pPr>
    </w:p>
    <w:p w:rsidR="008D30A4" w:rsidRDefault="00DB3182" w:rsidP="00DB3182">
      <w:pPr>
        <w:jc w:val="center"/>
        <w:rPr>
          <w:b/>
        </w:rPr>
      </w:pPr>
      <w:r>
        <w:rPr>
          <w:noProof/>
        </w:rPr>
        <w:drawing>
          <wp:inline distT="0" distB="0" distL="0" distR="0" wp14:anchorId="7D906856" wp14:editId="30C4A9EA">
            <wp:extent cx="4362450" cy="33242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0A4" w:rsidRDefault="008D30A4" w:rsidP="00D55D66">
      <w:pPr>
        <w:rPr>
          <w:b/>
        </w:rPr>
      </w:pPr>
    </w:p>
    <w:p w:rsidR="00D55D66" w:rsidRDefault="00D55D66" w:rsidP="00D55D66">
      <w:pPr>
        <w:rPr>
          <w:b/>
        </w:rPr>
      </w:pPr>
      <w:r>
        <w:rPr>
          <w:b/>
        </w:rPr>
        <w:t>Microbial Factors in Sepsis</w:t>
      </w:r>
    </w:p>
    <w:p w:rsidR="005A61BD" w:rsidRDefault="005A61BD" w:rsidP="00D85344">
      <w:pPr>
        <w:pStyle w:val="ListParagraph"/>
        <w:numPr>
          <w:ilvl w:val="0"/>
          <w:numId w:val="1"/>
        </w:numPr>
      </w:pPr>
      <w:r w:rsidRPr="005A61BD">
        <w:t xml:space="preserve">Gram </w:t>
      </w:r>
      <w:r>
        <w:t>(</w:t>
      </w:r>
      <w:r w:rsidRPr="005A61BD">
        <w:t>+</w:t>
      </w:r>
      <w:r>
        <w:t>)</w:t>
      </w:r>
      <w:r w:rsidRPr="005A61BD">
        <w:t xml:space="preserve">  activate inflammation cascade in response to cell wall components (</w:t>
      </w:r>
      <w:proofErr w:type="spellStart"/>
      <w:r w:rsidRPr="005A61BD">
        <w:t>lipoteichoic</w:t>
      </w:r>
      <w:proofErr w:type="spellEnd"/>
      <w:r w:rsidRPr="005A61BD">
        <w:t xml:space="preserve"> acid, peptidoglycan, peptidoglycan stem peptides), bacterial DNA or exotoxins</w:t>
      </w:r>
      <w:r w:rsidR="005770DC">
        <w:t xml:space="preserve"> and then induce widespread activation of T-cells leading to uncontrolled release of cytokines</w:t>
      </w:r>
      <w:r w:rsidR="00D85344">
        <w:t xml:space="preserve"> </w:t>
      </w:r>
      <w:r w:rsidR="00D85344">
        <w:t>(TNF-α, IL-1, IL-6, IL-8 and interferon-γ)</w:t>
      </w:r>
    </w:p>
    <w:p w:rsidR="00D85344" w:rsidRPr="005A61BD" w:rsidRDefault="00D85344" w:rsidP="00D85344">
      <w:pPr>
        <w:pStyle w:val="ListParagraph"/>
        <w:ind w:left="360"/>
      </w:pPr>
    </w:p>
    <w:p w:rsidR="005A61BD" w:rsidRDefault="005A61BD" w:rsidP="00D55D66">
      <w:pPr>
        <w:pStyle w:val="ListParagraph"/>
        <w:numPr>
          <w:ilvl w:val="0"/>
          <w:numId w:val="1"/>
        </w:numPr>
      </w:pPr>
      <w:r w:rsidRPr="005A61BD">
        <w:t xml:space="preserve">Gram </w:t>
      </w:r>
      <w:r>
        <w:t>(</w:t>
      </w:r>
      <w:r w:rsidRPr="005A61BD">
        <w:t>–</w:t>
      </w:r>
      <w:r>
        <w:t>)</w:t>
      </w:r>
      <w:r w:rsidRPr="005A61BD">
        <w:t xml:space="preserve"> activate inflammation cascade in response to cell wall component lipopolysaccharide (LPS), this binds to LBP (LPS binding protein)</w:t>
      </w:r>
      <w:r>
        <w:t xml:space="preserve"> and then bind to CD14 on macrophages -&gt; initiates TLR</w:t>
      </w:r>
      <w:r w:rsidR="00D571DE">
        <w:t xml:space="preserve"> to initiate production of cytokines (TNF-α, IL-1, IL-6, IL-8 and interferon-γ</w:t>
      </w:r>
      <w:r w:rsidR="005770DC">
        <w:t>)</w:t>
      </w:r>
    </w:p>
    <w:p w:rsidR="00A50A09" w:rsidRDefault="00D85344" w:rsidP="00D85344">
      <w:pPr>
        <w:jc w:val="center"/>
      </w:pPr>
      <w:r>
        <w:rPr>
          <w:noProof/>
        </w:rPr>
        <w:drawing>
          <wp:inline distT="0" distB="0" distL="0" distR="0" wp14:anchorId="0D2C3CFE" wp14:editId="14B2FC37">
            <wp:extent cx="4286250" cy="2523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386" cy="252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A09" w:rsidRDefault="00A50A09" w:rsidP="00A50A09">
      <w:r>
        <w:rPr>
          <w:noProof/>
        </w:rPr>
        <w:lastRenderedPageBreak/>
        <w:drawing>
          <wp:inline distT="0" distB="0" distL="0" distR="0" wp14:anchorId="7B50EBF7" wp14:editId="6A795106">
            <wp:extent cx="6407433" cy="4105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2109" cy="410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A09" w:rsidRPr="005A61BD" w:rsidRDefault="00A50A09" w:rsidP="00A50A09">
      <w:r>
        <w:rPr>
          <w:noProof/>
        </w:rPr>
        <w:drawing>
          <wp:inline distT="0" distB="0" distL="0" distR="0" wp14:anchorId="6144C041" wp14:editId="25907A98">
            <wp:extent cx="6720981" cy="348615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0981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D66" w:rsidRDefault="00D55D66" w:rsidP="006666C8">
      <w:pPr>
        <w:rPr>
          <w:b/>
        </w:rPr>
      </w:pPr>
    </w:p>
    <w:p w:rsidR="006666C8" w:rsidRDefault="006666C8" w:rsidP="006666C8">
      <w:pPr>
        <w:rPr>
          <w:b/>
        </w:rPr>
      </w:pPr>
      <w:r w:rsidRPr="006666C8">
        <w:rPr>
          <w:b/>
        </w:rPr>
        <w:t>Loss of Homeostatic Mechanisms in Sepsis</w:t>
      </w:r>
    </w:p>
    <w:p w:rsidR="006666C8" w:rsidRDefault="008A4874" w:rsidP="00B8620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 w:rsidR="006666C8">
        <w:rPr>
          <w:b/>
        </w:rPr>
        <w:t>Loss of vasomotor tone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r w:rsidRPr="006666C8">
        <w:lastRenderedPageBreak/>
        <w:t>Overproduction of nitric oxide</w:t>
      </w:r>
      <w:r>
        <w:t xml:space="preserve"> (NO), NO is a powerful vascular smooth muscle relaxant that leads to vasodilation in septic shock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r>
        <w:t>NO is induced by endotoxins, TNF-α, IL-1 or platelet activating factor (PAF)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proofErr w:type="spellStart"/>
      <w:r>
        <w:t>Osterbur</w:t>
      </w:r>
      <w:proofErr w:type="spellEnd"/>
      <w:r>
        <w:t xml:space="preserve"> et al, prospective, observational study in dogs, NO breakdown products (nitrite/nitrite) were significantly greater in septic/SIRS dogs compared to healthy controls</w:t>
      </w:r>
    </w:p>
    <w:p w:rsidR="006666C8" w:rsidRPr="006666C8" w:rsidRDefault="006666C8" w:rsidP="006666C8">
      <w:pPr>
        <w:pStyle w:val="ListParagraph"/>
        <w:ind w:left="1080"/>
      </w:pPr>
    </w:p>
    <w:p w:rsidR="006666C8" w:rsidRDefault="006666C8" w:rsidP="006666C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Dysregulation of inflammation and coagulation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r w:rsidRPr="006666C8">
        <w:t>Bacterial infection</w:t>
      </w:r>
      <w:r>
        <w:t xml:space="preserve"> and host inflammatory cytokines upregulate tissue factor (TF)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r>
        <w:t xml:space="preserve">TF + </w:t>
      </w:r>
      <w:proofErr w:type="spellStart"/>
      <w:r>
        <w:t>VIIa</w:t>
      </w:r>
      <w:proofErr w:type="spellEnd"/>
      <w:r>
        <w:t xml:space="preserve"> -&gt; initiate coagulation cascade</w:t>
      </w:r>
      <w:r w:rsidR="00B66B5F">
        <w:t xml:space="preserve"> -&gt; activate platelets</w:t>
      </w:r>
    </w:p>
    <w:p w:rsidR="006666C8" w:rsidRDefault="00B66B5F" w:rsidP="006666C8">
      <w:pPr>
        <w:pStyle w:val="ListParagraph"/>
        <w:numPr>
          <w:ilvl w:val="1"/>
          <w:numId w:val="2"/>
        </w:numPr>
      </w:pPr>
      <w:r>
        <w:t xml:space="preserve">Natural anticoagulant and fibrinolytic processes are inhibited in sepsis due to downregulation of </w:t>
      </w:r>
      <w:proofErr w:type="spellStart"/>
      <w:r>
        <w:t>antithrombin</w:t>
      </w:r>
      <w:proofErr w:type="spellEnd"/>
      <w:r>
        <w:t>, TF pathway inhibitor, TPA and increased plasminogen activator inhibitor (PAI-1)</w:t>
      </w:r>
    </w:p>
    <w:p w:rsidR="00B66B5F" w:rsidRDefault="00B66B5F" w:rsidP="006666C8">
      <w:pPr>
        <w:pStyle w:val="ListParagraph"/>
        <w:numPr>
          <w:ilvl w:val="1"/>
          <w:numId w:val="2"/>
        </w:numPr>
      </w:pPr>
      <w:r>
        <w:t>Protein C pathway is also inhibited</w:t>
      </w:r>
      <w:r w:rsidR="00C0000C">
        <w:t xml:space="preserve"> -&gt; reduction of protein C</w:t>
      </w:r>
      <w:r w:rsidR="00B8620E">
        <w:t xml:space="preserve"> anticoagulant and anti-inflammatory effects</w:t>
      </w:r>
    </w:p>
    <w:p w:rsidR="00B8620E" w:rsidRDefault="00B8620E" w:rsidP="006666C8">
      <w:pPr>
        <w:pStyle w:val="ListParagraph"/>
        <w:numPr>
          <w:ilvl w:val="1"/>
          <w:numId w:val="2"/>
        </w:numPr>
      </w:pPr>
      <w:r>
        <w:t xml:space="preserve">In sepsis, patients are </w:t>
      </w:r>
      <w:proofErr w:type="spellStart"/>
      <w:r>
        <w:t>procoagulant</w:t>
      </w:r>
      <w:proofErr w:type="spellEnd"/>
      <w:r>
        <w:t xml:space="preserve"> and </w:t>
      </w:r>
      <w:proofErr w:type="spellStart"/>
      <w:r>
        <w:t>antifibrinolytic</w:t>
      </w:r>
      <w:proofErr w:type="spellEnd"/>
      <w:r>
        <w:t xml:space="preserve"> initially then hypocoagulable due to decreased host synthesis, effectiveness of natural coagulation inhibitors </w:t>
      </w:r>
    </w:p>
    <w:p w:rsidR="00C0000C" w:rsidRPr="006666C8" w:rsidRDefault="00C0000C" w:rsidP="00C0000C">
      <w:pPr>
        <w:pStyle w:val="ListParagraph"/>
        <w:ind w:left="1080"/>
      </w:pPr>
    </w:p>
    <w:p w:rsidR="006666C8" w:rsidRDefault="006666C8" w:rsidP="006666C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Endothelial, microcirculatory and mitochondrial abnormalities</w:t>
      </w:r>
    </w:p>
    <w:p w:rsidR="00B8620E" w:rsidRPr="00B8620E" w:rsidRDefault="00B8620E" w:rsidP="00B8620E">
      <w:pPr>
        <w:pStyle w:val="ListParagraph"/>
        <w:numPr>
          <w:ilvl w:val="1"/>
          <w:numId w:val="2"/>
        </w:numPr>
      </w:pPr>
      <w:r w:rsidRPr="00B8620E">
        <w:t>Alteration in endothelium, increased vascular permeability and microvascular  derangements occur due to:</w:t>
      </w:r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r w:rsidRPr="00B8620E">
        <w:t>Endothelial dysfunction</w:t>
      </w:r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r w:rsidRPr="00B8620E">
        <w:t xml:space="preserve">Alterations and damage to </w:t>
      </w:r>
      <w:proofErr w:type="spellStart"/>
      <w:r w:rsidRPr="00B8620E">
        <w:t>glycocalyx</w:t>
      </w:r>
      <w:proofErr w:type="spellEnd"/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proofErr w:type="spellStart"/>
      <w:r w:rsidRPr="00B8620E">
        <w:t>Rheologic</w:t>
      </w:r>
      <w:proofErr w:type="spellEnd"/>
      <w:r w:rsidRPr="00B8620E">
        <w:t xml:space="preserve"> changes to </w:t>
      </w:r>
      <w:proofErr w:type="spellStart"/>
      <w:r w:rsidRPr="00B8620E">
        <w:t>rbc</w:t>
      </w:r>
      <w:proofErr w:type="spellEnd"/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r w:rsidRPr="00B8620E">
        <w:t>Leukocyte activation</w:t>
      </w:r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proofErr w:type="spellStart"/>
      <w:r w:rsidRPr="00B8620E">
        <w:t>Microthrombosis</w:t>
      </w:r>
      <w:proofErr w:type="spellEnd"/>
    </w:p>
    <w:p w:rsidR="00B8620E" w:rsidRDefault="00B8620E" w:rsidP="00B8620E">
      <w:pPr>
        <w:pStyle w:val="ListParagraph"/>
        <w:numPr>
          <w:ilvl w:val="2"/>
          <w:numId w:val="2"/>
        </w:numPr>
      </w:pPr>
      <w:r w:rsidRPr="00B8620E">
        <w:t>Loss of vascular smooth muscle autoregulation</w:t>
      </w:r>
    </w:p>
    <w:p w:rsidR="008A4874" w:rsidRDefault="001078F8" w:rsidP="008A4874">
      <w:pPr>
        <w:pStyle w:val="ListParagraph"/>
        <w:numPr>
          <w:ilvl w:val="1"/>
          <w:numId w:val="2"/>
        </w:numPr>
      </w:pPr>
      <w:r>
        <w:t>Alterations in tissue extraction and tissue hypoxia occur due to:</w:t>
      </w:r>
    </w:p>
    <w:p w:rsidR="001078F8" w:rsidRDefault="00D55D66" w:rsidP="001078F8">
      <w:pPr>
        <w:pStyle w:val="ListParagraph"/>
        <w:numPr>
          <w:ilvl w:val="2"/>
          <w:numId w:val="2"/>
        </w:numPr>
      </w:pPr>
      <w:r>
        <w:t>Decreased functional capillary density</w:t>
      </w:r>
    </w:p>
    <w:p w:rsidR="00D55D66" w:rsidRDefault="00D55D66" w:rsidP="001078F8">
      <w:pPr>
        <w:pStyle w:val="ListParagraph"/>
        <w:numPr>
          <w:ilvl w:val="2"/>
          <w:numId w:val="2"/>
        </w:numPr>
      </w:pPr>
      <w:r>
        <w:t>Increased diffusional distance for O2</w:t>
      </w:r>
    </w:p>
    <w:p w:rsidR="00D55D66" w:rsidRDefault="00D55D66" w:rsidP="001078F8">
      <w:pPr>
        <w:pStyle w:val="ListParagraph"/>
        <w:numPr>
          <w:ilvl w:val="2"/>
          <w:numId w:val="2"/>
        </w:numPr>
      </w:pPr>
      <w:r>
        <w:t>Microvascular thrombosis</w:t>
      </w:r>
    </w:p>
    <w:p w:rsidR="00D55D66" w:rsidRDefault="00D55D66" w:rsidP="001078F8">
      <w:pPr>
        <w:pStyle w:val="ListParagraph"/>
        <w:numPr>
          <w:ilvl w:val="2"/>
          <w:numId w:val="2"/>
        </w:numPr>
      </w:pPr>
      <w:r>
        <w:t>Cytopathic hypoxia from mitochondrial dysfunction</w:t>
      </w:r>
    </w:p>
    <w:p w:rsidR="00D55D66" w:rsidRPr="00D55D66" w:rsidRDefault="00D55D66" w:rsidP="00D55D66">
      <w:pPr>
        <w:rPr>
          <w:b/>
        </w:rPr>
      </w:pPr>
    </w:p>
    <w:p w:rsidR="00B8620E" w:rsidRDefault="00B8620E" w:rsidP="00B8620E">
      <w:pPr>
        <w:rPr>
          <w:b/>
        </w:rPr>
      </w:pPr>
      <w:r w:rsidRPr="00A47F15">
        <w:rPr>
          <w:b/>
        </w:rPr>
        <w:t>Mechanisms of Immune Suppression in Sepsis</w:t>
      </w:r>
    </w:p>
    <w:p w:rsidR="00B8620E" w:rsidRDefault="00B8620E" w:rsidP="00B8620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Shift to anti-inflammatory cytokines</w:t>
      </w:r>
    </w:p>
    <w:p w:rsidR="00B8620E" w:rsidRPr="007F0858" w:rsidRDefault="00B8620E" w:rsidP="00B8620E">
      <w:pPr>
        <w:pStyle w:val="ListParagraph"/>
        <w:numPr>
          <w:ilvl w:val="1"/>
          <w:numId w:val="1"/>
        </w:numPr>
        <w:rPr>
          <w:b/>
        </w:rPr>
      </w:pPr>
      <w:r>
        <w:t>Activated CD4 T cells secrete cytokines</w:t>
      </w:r>
    </w:p>
    <w:p w:rsidR="00B8620E" w:rsidRPr="007F0858" w:rsidRDefault="00B8620E" w:rsidP="00B8620E">
      <w:pPr>
        <w:pStyle w:val="ListParagraph"/>
        <w:numPr>
          <w:ilvl w:val="2"/>
          <w:numId w:val="1"/>
        </w:numPr>
        <w:rPr>
          <w:b/>
        </w:rPr>
      </w:pPr>
      <w:r>
        <w:t>Inflammatory: Type 1 helper T cell properties (</w:t>
      </w:r>
      <w:proofErr w:type="spellStart"/>
      <w:r>
        <w:t>ie</w:t>
      </w:r>
      <w:proofErr w:type="spellEnd"/>
      <w:r>
        <w:t>: TNFα, interferon-γ, IL-2)</w:t>
      </w:r>
    </w:p>
    <w:p w:rsidR="00B8620E" w:rsidRPr="007F0858" w:rsidRDefault="00B8620E" w:rsidP="00B8620E">
      <w:pPr>
        <w:pStyle w:val="ListParagraph"/>
        <w:numPr>
          <w:ilvl w:val="2"/>
          <w:numId w:val="1"/>
        </w:numPr>
        <w:rPr>
          <w:b/>
        </w:rPr>
      </w:pPr>
      <w:r>
        <w:t>Anti-inflammatory: Type 2 helper T cell properties (</w:t>
      </w:r>
      <w:proofErr w:type="spellStart"/>
      <w:r>
        <w:t>ie</w:t>
      </w:r>
      <w:proofErr w:type="spellEnd"/>
      <w:r>
        <w:t>: IL-4, IL-10)</w:t>
      </w:r>
    </w:p>
    <w:p w:rsidR="00B8620E" w:rsidRPr="00D85344" w:rsidRDefault="00B8620E" w:rsidP="00B8620E">
      <w:pPr>
        <w:pStyle w:val="ListParagraph"/>
        <w:numPr>
          <w:ilvl w:val="1"/>
          <w:numId w:val="1"/>
        </w:numPr>
        <w:rPr>
          <w:b/>
        </w:rPr>
      </w:pPr>
      <w:r>
        <w:t>Unknown what causes CD4 T cells to have Th1 or Th2, may be influenced by type of pathogen, amount of pathogen and site of infection</w:t>
      </w:r>
    </w:p>
    <w:p w:rsidR="00D85344" w:rsidRDefault="00D85344" w:rsidP="00D85344">
      <w:pPr>
        <w:pStyle w:val="ListParagraph"/>
        <w:ind w:left="1080"/>
        <w:rPr>
          <w:b/>
        </w:rPr>
      </w:pPr>
    </w:p>
    <w:p w:rsidR="00B8620E" w:rsidRDefault="00B8620E" w:rsidP="00B8620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Anergy</w:t>
      </w:r>
      <w:proofErr w:type="spellEnd"/>
    </w:p>
    <w:p w:rsidR="00B8620E" w:rsidRPr="002874D2" w:rsidRDefault="00B8620E" w:rsidP="00B8620E">
      <w:pPr>
        <w:pStyle w:val="ListParagraph"/>
        <w:numPr>
          <w:ilvl w:val="1"/>
          <w:numId w:val="1"/>
        </w:numPr>
      </w:pPr>
      <w:r w:rsidRPr="002874D2">
        <w:t>State of unresponsiveness to antigen, T cells fail to proliferate r secrete cytokines in response to antigens</w:t>
      </w:r>
      <w:r>
        <w:t>-&gt; correlated with mortality</w:t>
      </w:r>
    </w:p>
    <w:p w:rsidR="00B8620E" w:rsidRDefault="00B8620E" w:rsidP="00B8620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Death of immune cells</w:t>
      </w:r>
    </w:p>
    <w:p w:rsidR="00B8620E" w:rsidRDefault="00B8620E" w:rsidP="00B8620E">
      <w:pPr>
        <w:pStyle w:val="ListParagraph"/>
        <w:numPr>
          <w:ilvl w:val="1"/>
          <w:numId w:val="1"/>
        </w:numPr>
      </w:pPr>
      <w:r w:rsidRPr="00953EC7">
        <w:lastRenderedPageBreak/>
        <w:t>Apoptosis induced loss of CD4 T cells (macrophage activation), B cells (decreased antibody production),  and dendritic cells (antigen presentation)</w:t>
      </w:r>
    </w:p>
    <w:p w:rsidR="00B8620E" w:rsidRPr="00B8620E" w:rsidRDefault="00B8620E" w:rsidP="00B8620E"/>
    <w:p w:rsidR="00A47F15" w:rsidRDefault="00467382" w:rsidP="00467382">
      <w:pPr>
        <w:jc w:val="center"/>
      </w:pPr>
      <w:r>
        <w:rPr>
          <w:noProof/>
        </w:rPr>
        <w:drawing>
          <wp:inline distT="0" distB="0" distL="0" distR="0" wp14:anchorId="73FE9F02" wp14:editId="0A26F52F">
            <wp:extent cx="5048250" cy="477274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5087" cy="477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382" w:rsidRDefault="00467382" w:rsidP="00467382">
      <w:pPr>
        <w:jc w:val="center"/>
      </w:pPr>
      <w:r>
        <w:rPr>
          <w:noProof/>
        </w:rPr>
        <w:drawing>
          <wp:inline distT="0" distB="0" distL="0" distR="0" wp14:anchorId="2136F680" wp14:editId="7F5C3D0D">
            <wp:extent cx="5943600" cy="15093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F8" w:rsidRDefault="001078F8"/>
    <w:p w:rsidR="00D85344" w:rsidRDefault="00D85344">
      <w:r>
        <w:rPr>
          <w:noProof/>
        </w:rPr>
        <w:drawing>
          <wp:inline distT="0" distB="0" distL="0" distR="0" wp14:anchorId="42FDD7ED" wp14:editId="2585C2C4">
            <wp:extent cx="5943600" cy="2690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344" w:rsidRDefault="00D85344"/>
    <w:p w:rsidR="00D85344" w:rsidRDefault="00D85344"/>
    <w:p w:rsidR="001078F8" w:rsidRDefault="001078F8">
      <w:r>
        <w:rPr>
          <w:noProof/>
        </w:rPr>
        <w:drawing>
          <wp:inline distT="0" distB="0" distL="0" distR="0" wp14:anchorId="33FE60B1" wp14:editId="5A1B682C">
            <wp:extent cx="5943600" cy="26117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F8" w:rsidRDefault="001078F8"/>
    <w:p w:rsidR="001078F8" w:rsidRDefault="001078F8"/>
    <w:p w:rsidR="001078F8" w:rsidRDefault="001078F8"/>
    <w:p w:rsidR="00A47F15" w:rsidRPr="00D85344" w:rsidRDefault="002874D2">
      <w:pPr>
        <w:rPr>
          <w:b/>
        </w:rPr>
      </w:pPr>
      <w:r w:rsidRPr="00D85344">
        <w:rPr>
          <w:b/>
        </w:rPr>
        <w:t>Bibliography:</w:t>
      </w:r>
    </w:p>
    <w:p w:rsidR="002874D2" w:rsidRDefault="00D85344">
      <w:pPr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Parrillo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Joseph E., and R. Phillip Dellinger. </w:t>
      </w:r>
      <w:r>
        <w:rPr>
          <w:rFonts w:ascii="Arial" w:hAnsi="Arial" w:cs="Arial"/>
          <w:i/>
          <w:iCs/>
          <w:color w:val="222222"/>
          <w:sz w:val="20"/>
          <w:szCs w:val="20"/>
        </w:rPr>
        <w:t>Critical Care Medicine E-Book: Principles of Diagnosis and Management in the Adult</w:t>
      </w:r>
      <w:r>
        <w:rPr>
          <w:rFonts w:ascii="Arial" w:hAnsi="Arial" w:cs="Arial"/>
          <w:color w:val="222222"/>
          <w:sz w:val="20"/>
          <w:szCs w:val="20"/>
        </w:rPr>
        <w:t>. Elsevier Health Sciences, 2013.</w:t>
      </w:r>
    </w:p>
    <w:p w:rsidR="00D85344" w:rsidRDefault="00D85344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Silverstein, Deborah, and Kate Hopper. </w:t>
      </w:r>
      <w:r>
        <w:rPr>
          <w:rFonts w:ascii="Arial" w:hAnsi="Arial" w:cs="Arial"/>
          <w:i/>
          <w:iCs/>
          <w:color w:val="222222"/>
          <w:sz w:val="20"/>
          <w:szCs w:val="20"/>
        </w:rPr>
        <w:t>Small Animal Critical Care Medicine-E-Book</w:t>
      </w:r>
      <w:r>
        <w:rPr>
          <w:rFonts w:ascii="Arial" w:hAnsi="Arial" w:cs="Arial"/>
          <w:color w:val="222222"/>
          <w:sz w:val="20"/>
          <w:szCs w:val="20"/>
        </w:rPr>
        <w:t>. Elsevier Health Sciences, 2014.</w:t>
      </w:r>
    </w:p>
    <w:p w:rsidR="00D85344" w:rsidRDefault="00D85344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Hotchkiss, Richard S., and Irene E. Karl. "The pathophysiology and treatment of sepsis." </w:t>
      </w:r>
      <w:r>
        <w:rPr>
          <w:rFonts w:ascii="Arial" w:hAnsi="Arial" w:cs="Arial"/>
          <w:i/>
          <w:iCs/>
          <w:color w:val="222222"/>
          <w:sz w:val="20"/>
          <w:szCs w:val="20"/>
        </w:rPr>
        <w:t>New England Journal of Medicine</w:t>
      </w:r>
      <w:r>
        <w:rPr>
          <w:rFonts w:ascii="Arial" w:hAnsi="Arial" w:cs="Arial"/>
          <w:color w:val="222222"/>
          <w:sz w:val="20"/>
          <w:szCs w:val="20"/>
        </w:rPr>
        <w:t xml:space="preserve"> 348.2 (2003): 138-150</w:t>
      </w:r>
    </w:p>
    <w:p w:rsidR="008D30A4" w:rsidRDefault="008D30A4">
      <w:pPr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Sagy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Mayer,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Yasir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Al-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Qaqaa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and Paul Kim. "Definitions and pathophysiology of sepsis." </w:t>
      </w:r>
      <w:r>
        <w:rPr>
          <w:rFonts w:ascii="Arial" w:hAnsi="Arial" w:cs="Arial"/>
          <w:i/>
          <w:iCs/>
          <w:color w:val="222222"/>
          <w:sz w:val="20"/>
          <w:szCs w:val="20"/>
        </w:rPr>
        <w:t>Current problems in pediatric and adolescent health care</w:t>
      </w:r>
      <w:r>
        <w:rPr>
          <w:rFonts w:ascii="Arial" w:hAnsi="Arial" w:cs="Arial"/>
          <w:color w:val="222222"/>
          <w:sz w:val="20"/>
          <w:szCs w:val="20"/>
        </w:rPr>
        <w:t xml:space="preserve"> 43.10 (2013): 260-263.</w:t>
      </w:r>
    </w:p>
    <w:p w:rsidR="008D30A4" w:rsidRDefault="008D30A4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Singer, Mervyn, et al. "The third international consensus definitions for sepsis and septic shock (sepsis-3)." </w:t>
      </w:r>
      <w:r>
        <w:rPr>
          <w:rFonts w:ascii="Arial" w:hAnsi="Arial" w:cs="Arial"/>
          <w:i/>
          <w:iCs/>
          <w:color w:val="222222"/>
          <w:sz w:val="20"/>
          <w:szCs w:val="20"/>
        </w:rPr>
        <w:t>Jama</w:t>
      </w:r>
      <w:r>
        <w:rPr>
          <w:rFonts w:ascii="Arial" w:hAnsi="Arial" w:cs="Arial"/>
          <w:color w:val="222222"/>
          <w:sz w:val="20"/>
          <w:szCs w:val="20"/>
        </w:rPr>
        <w:t xml:space="preserve"> 315.8 (2016): 801-810.</w:t>
      </w:r>
    </w:p>
    <w:p w:rsidR="00FC5C74" w:rsidRDefault="00FC5C74">
      <w:pPr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DeClue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Amy E., et al. "Clinical and immunologic assessment of sepsis and the systemic inflammatory response syndrome in cats."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the American Veterinary Medical Association</w:t>
      </w:r>
      <w:r>
        <w:rPr>
          <w:rFonts w:ascii="Arial" w:hAnsi="Arial" w:cs="Arial"/>
          <w:color w:val="222222"/>
          <w:sz w:val="20"/>
          <w:szCs w:val="20"/>
        </w:rPr>
        <w:t xml:space="preserve"> 238.7 (2011): 890-897.</w:t>
      </w:r>
    </w:p>
    <w:p w:rsidR="008D30A4" w:rsidRDefault="004F07EF">
      <w:r w:rsidRPr="004F07EF">
        <w:t xml:space="preserve">Brady, Colleen A., et al. "Severe sepsis in cats: 29 cases (1986–1998)." </w:t>
      </w:r>
      <w:r w:rsidRPr="004F07EF">
        <w:rPr>
          <w:i/>
          <w:iCs/>
        </w:rPr>
        <w:t>Journal of the American Veterinary Medical Association</w:t>
      </w:r>
      <w:r w:rsidRPr="004F07EF">
        <w:t xml:space="preserve"> 217.4 (2000): 531-535.</w:t>
      </w:r>
    </w:p>
    <w:p w:rsidR="00DB3182" w:rsidRDefault="00DB3182">
      <w:r>
        <w:rPr>
          <w:rFonts w:ascii="Arial" w:hAnsi="Arial" w:cs="Arial"/>
          <w:color w:val="222222"/>
          <w:sz w:val="20"/>
          <w:szCs w:val="20"/>
        </w:rPr>
        <w:t xml:space="preserve">Brady, Colleen A., and Cynthia M. Otto. "Systemic inflammatory response syndrome, sepsis, and multiple organ dysfunction."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Veterinary clinics of </w:t>
      </w:r>
      <w:proofErr w:type="gramStart"/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north </w:t>
      </w:r>
      <w:proofErr w:type="spellStart"/>
      <w:r>
        <w:rPr>
          <w:rFonts w:ascii="Arial" w:hAnsi="Arial" w:cs="Arial"/>
          <w:i/>
          <w:iCs/>
          <w:color w:val="222222"/>
          <w:sz w:val="20"/>
          <w:szCs w:val="20"/>
        </w:rPr>
        <w:t>america</w:t>
      </w:r>
      <w:proofErr w:type="spellEnd"/>
      <w:proofErr w:type="gramEnd"/>
      <w:r>
        <w:rPr>
          <w:rFonts w:ascii="Arial" w:hAnsi="Arial" w:cs="Arial"/>
          <w:i/>
          <w:iCs/>
          <w:color w:val="222222"/>
          <w:sz w:val="20"/>
          <w:szCs w:val="20"/>
        </w:rPr>
        <w:t>: Small animal practice</w:t>
      </w:r>
      <w:r>
        <w:rPr>
          <w:rFonts w:ascii="Arial" w:hAnsi="Arial" w:cs="Arial"/>
          <w:color w:val="222222"/>
          <w:sz w:val="20"/>
          <w:szCs w:val="20"/>
        </w:rPr>
        <w:t xml:space="preserve"> 31.6 (2001): 1147-1162.</w:t>
      </w:r>
      <w:bookmarkStart w:id="0" w:name="_GoBack"/>
      <w:bookmarkEnd w:id="0"/>
    </w:p>
    <w:sectPr w:rsidR="00DB3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11A4"/>
    <w:multiLevelType w:val="hybridMultilevel"/>
    <w:tmpl w:val="233AC8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D50AB"/>
    <w:multiLevelType w:val="hybridMultilevel"/>
    <w:tmpl w:val="6A7451FE"/>
    <w:lvl w:ilvl="0" w:tplc="10ACE47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181D16"/>
    <w:multiLevelType w:val="hybridMultilevel"/>
    <w:tmpl w:val="BEB6F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428106">
      <w:numFmt w:val="bullet"/>
      <w:lvlText w:val=""/>
      <w:lvlJc w:val="left"/>
      <w:pPr>
        <w:ind w:left="2160" w:hanging="360"/>
      </w:pPr>
      <w:rPr>
        <w:rFonts w:ascii="Wingdings" w:eastAsiaTheme="minorHAnsi" w:hAnsi="Wingdings" w:cstheme="minorBidi" w:hint="default"/>
        <w:b w:val="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15"/>
    <w:rsid w:val="001078F8"/>
    <w:rsid w:val="00217E1A"/>
    <w:rsid w:val="002874D2"/>
    <w:rsid w:val="0031175E"/>
    <w:rsid w:val="00316158"/>
    <w:rsid w:val="003E5CA9"/>
    <w:rsid w:val="00467382"/>
    <w:rsid w:val="004F07EF"/>
    <w:rsid w:val="005326E6"/>
    <w:rsid w:val="005770DC"/>
    <w:rsid w:val="005A61BD"/>
    <w:rsid w:val="006666C8"/>
    <w:rsid w:val="00726F65"/>
    <w:rsid w:val="007F0858"/>
    <w:rsid w:val="00852C69"/>
    <w:rsid w:val="00865DD2"/>
    <w:rsid w:val="008A4874"/>
    <w:rsid w:val="008C5AB5"/>
    <w:rsid w:val="008D30A4"/>
    <w:rsid w:val="00953EC7"/>
    <w:rsid w:val="00A47F15"/>
    <w:rsid w:val="00A50A09"/>
    <w:rsid w:val="00B66B5F"/>
    <w:rsid w:val="00B8620E"/>
    <w:rsid w:val="00BA50D4"/>
    <w:rsid w:val="00BB7163"/>
    <w:rsid w:val="00C0000C"/>
    <w:rsid w:val="00D55D66"/>
    <w:rsid w:val="00D571DE"/>
    <w:rsid w:val="00D85344"/>
    <w:rsid w:val="00DB3182"/>
    <w:rsid w:val="00E52DBE"/>
    <w:rsid w:val="00EF605C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6E9800-CB13-4799-976F-C574449B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F15"/>
    <w:pPr>
      <w:ind w:left="720"/>
      <w:contextualSpacing/>
    </w:pPr>
  </w:style>
  <w:style w:type="table" w:styleId="TableGrid">
    <w:name w:val="Table Grid"/>
    <w:basedOn w:val="TableNormal"/>
    <w:uiPriority w:val="39"/>
    <w:rsid w:val="003E5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3E5CA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E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BA50D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17E1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94128-9A8A-473B-BD21-29EAEC8D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8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Mariana A Pardo</cp:lastModifiedBy>
  <cp:revision>22</cp:revision>
  <dcterms:created xsi:type="dcterms:W3CDTF">2017-06-28T00:12:00Z</dcterms:created>
  <dcterms:modified xsi:type="dcterms:W3CDTF">2017-06-29T18:41:00Z</dcterms:modified>
</cp:coreProperties>
</file>