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B02" w:rsidRDefault="00C663D3">
      <w:r>
        <w:t>NEJM February Summary</w:t>
      </w:r>
    </w:p>
    <w:p w:rsidR="00C663D3" w:rsidRDefault="009B219A">
      <w:r>
        <w:t>Hemorrhagic Shock Review:</w:t>
      </w:r>
    </w:p>
    <w:p w:rsidR="009B219A" w:rsidRDefault="009B219A">
      <w:r>
        <w:t>Key Points:</w:t>
      </w:r>
    </w:p>
    <w:p w:rsidR="009B219A" w:rsidRDefault="009B219A">
      <w:r>
        <w:t>Initial insult of hypoxemia leads to generation of Lactic acid, inorganic phosphates, and oxygen radicals that trigger release of DAMPs and systemic inflammation.  Failure of ATP production results in cell death, necrosis, and organ failure</w:t>
      </w:r>
    </w:p>
    <w:p w:rsidR="009B219A" w:rsidRDefault="00E30906">
      <w:r>
        <w:t>Severe hemorrhage results in pulselessness and hypoperfusion of brain and heart, leading to fatal arrhythmias within minutes</w:t>
      </w:r>
    </w:p>
    <w:p w:rsidR="00E30906" w:rsidRDefault="00E30906">
      <w:r>
        <w:t xml:space="preserve">Systemic shedding of </w:t>
      </w:r>
      <w:proofErr w:type="spellStart"/>
      <w:r>
        <w:t>glycocalyx</w:t>
      </w:r>
      <w:proofErr w:type="spellEnd"/>
      <w:r>
        <w:t xml:space="preserve"> occurs</w:t>
      </w:r>
    </w:p>
    <w:p w:rsidR="00E30906" w:rsidRDefault="00E30906">
      <w:r>
        <w:t xml:space="preserve">Coagulopathy: Adaptive changes occur at site of hemorrhage, however remote sites, fibronoyltic activity increases and excess plasmin activity and autoheperanization </w:t>
      </w:r>
      <w:r w:rsidR="00314C10">
        <w:t>from gylcocalyx shedding all results in hyperfibrinolysis</w:t>
      </w:r>
    </w:p>
    <w:p w:rsidR="00314C10" w:rsidRDefault="00314C10">
      <w:r>
        <w:t>Platelet consumption and reduced activity will also contribute to coagulopathy</w:t>
      </w:r>
    </w:p>
    <w:p w:rsidR="00314C10" w:rsidRDefault="00314C10">
      <w:r>
        <w:t>Deadly triad/vicious cycle= Coagulopathy, hypothermia, acidosis</w:t>
      </w:r>
    </w:p>
    <w:p w:rsidR="00314C10" w:rsidRDefault="00314C10">
      <w:r>
        <w:t>Hypotension: often an unreliable indicator of shock unless &gt;30% blood volume loss</w:t>
      </w:r>
    </w:p>
    <w:p w:rsidR="004C22A6" w:rsidRDefault="004C22A6"/>
    <w:p w:rsidR="004C22A6" w:rsidRDefault="004C22A6">
      <w:r>
        <w:t>Age of Red Cells for Transfusions and outcomes in Critically Ill Adults</w:t>
      </w:r>
    </w:p>
    <w:p w:rsidR="004C22A6" w:rsidRDefault="004C22A6">
      <w:r>
        <w:t xml:space="preserve">International, </w:t>
      </w:r>
      <w:proofErr w:type="spellStart"/>
      <w:r>
        <w:t>multicentered</w:t>
      </w:r>
      <w:proofErr w:type="spellEnd"/>
      <w:r>
        <w:t>, randomized, double-blinded trail</w:t>
      </w:r>
    </w:p>
    <w:p w:rsidR="004C22A6" w:rsidRDefault="004C22A6">
      <w:r>
        <w:t>Group 1 = Freshest</w:t>
      </w:r>
    </w:p>
    <w:p w:rsidR="004C22A6" w:rsidRDefault="004C22A6">
      <w:r>
        <w:t>Group 2= Oldest available</w:t>
      </w:r>
    </w:p>
    <w:p w:rsidR="004C22A6" w:rsidRDefault="004C22A6">
      <w:r>
        <w:t>1’ Outcome = 90d mortality</w:t>
      </w:r>
    </w:p>
    <w:p w:rsidR="004C22A6" w:rsidRDefault="004C22A6">
      <w:r>
        <w:t>No difference in mortality</w:t>
      </w:r>
      <w:r w:rsidR="007A53D0">
        <w:t xml:space="preserve"> 24.8% vs 24.1%</w:t>
      </w:r>
    </w:p>
    <w:p w:rsidR="007A53D0" w:rsidRDefault="007A53D0">
      <w:r>
        <w:t xml:space="preserve">No difference in 28 day mortality, rate of persistent organ dysfunction, new bloodstream infections, need for vent, dialysis.  </w:t>
      </w:r>
    </w:p>
    <w:p w:rsidR="007A53D0" w:rsidRDefault="007A53D0">
      <w:r>
        <w:t>Non-hemolytic transfusion reactions MORE common in freshest group (5.0% vs 3.6%)</w:t>
      </w:r>
    </w:p>
    <w:p w:rsidR="007A53D0" w:rsidRDefault="007A53D0">
      <w:r>
        <w:t>Subgroup analysis – sicker patients had higher mortality with fresher blood, and healthier patients had decreased mortality with fresher blood</w:t>
      </w:r>
    </w:p>
    <w:p w:rsidR="004C22A6" w:rsidRDefault="004C22A6"/>
    <w:p w:rsidR="004C22A6" w:rsidRDefault="004C22A6">
      <w:r>
        <w:lastRenderedPageBreak/>
        <w:t>Other info:</w:t>
      </w:r>
    </w:p>
    <w:p w:rsidR="004C22A6" w:rsidRDefault="004C22A6">
      <w:r>
        <w:t>Group 1 storage average = 11.8d</w:t>
      </w:r>
    </w:p>
    <w:p w:rsidR="004C22A6" w:rsidRDefault="004C22A6">
      <w:r>
        <w:t>Group 2 = 22.4d</w:t>
      </w:r>
    </w:p>
    <w:p w:rsidR="004C22A6" w:rsidRDefault="004C22A6">
      <w:r>
        <w:t>Patients – 18+ years old</w:t>
      </w:r>
      <w:r w:rsidR="007A53D0">
        <w:t xml:space="preserve"> that were admitted to ICU that would be in need of transfusion</w:t>
      </w:r>
    </w:p>
    <w:p w:rsidR="007A53D0" w:rsidRDefault="007A53D0">
      <w:r>
        <w:t>Exclusion = previous transfusion, cardiac surgery, hematologic cancer, organ transplant, pregnancy, expected death within 24 hours, lack of equipoise</w:t>
      </w:r>
    </w:p>
    <w:p w:rsidR="007A53D0" w:rsidRDefault="007A53D0">
      <w:bookmarkStart w:id="0" w:name="_GoBack"/>
      <w:bookmarkEnd w:id="0"/>
    </w:p>
    <w:sectPr w:rsidR="007A53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3D3"/>
    <w:rsid w:val="00314C10"/>
    <w:rsid w:val="0048508B"/>
    <w:rsid w:val="004C22A6"/>
    <w:rsid w:val="006745CE"/>
    <w:rsid w:val="007A53D0"/>
    <w:rsid w:val="009B219A"/>
    <w:rsid w:val="00AF37AE"/>
    <w:rsid w:val="00C663D3"/>
    <w:rsid w:val="00E30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2</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1812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Zager</dc:creator>
  <cp:lastModifiedBy>Erik Zager</cp:lastModifiedBy>
  <cp:revision>3</cp:revision>
  <dcterms:created xsi:type="dcterms:W3CDTF">2018-02-01T16:02:00Z</dcterms:created>
  <dcterms:modified xsi:type="dcterms:W3CDTF">2018-02-01T20:51:00Z</dcterms:modified>
</cp:coreProperties>
</file>