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5CC" w:rsidRDefault="00F005CC" w:rsidP="002B33EF">
      <w:r w:rsidRPr="00F005CC">
        <w:drawing>
          <wp:inline distT="0" distB="0" distL="0" distR="0" wp14:anchorId="2B297BA5" wp14:editId="093AB7A1">
            <wp:extent cx="5943600" cy="55848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8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3EF" w:rsidRDefault="002B33EF" w:rsidP="002B33EF"/>
    <w:p w:rsidR="002B33EF" w:rsidRDefault="002B33EF" w:rsidP="002B33EF">
      <w:pPr>
        <w:pStyle w:val="ListParagraph"/>
        <w:numPr>
          <w:ilvl w:val="0"/>
          <w:numId w:val="3"/>
        </w:numPr>
      </w:pPr>
      <w:r>
        <w:t>Healthy cats may have an incidental b-line, cats with CHF tend to have a predominance of b-lines</w:t>
      </w:r>
    </w:p>
    <w:p w:rsidR="001A65AA" w:rsidRDefault="001A65AA" w:rsidP="0062678D">
      <w:r>
        <w:br w:type="page"/>
      </w:r>
    </w:p>
    <w:p w:rsidR="001A65AA" w:rsidRDefault="001A65AA" w:rsidP="0062678D">
      <w:r>
        <w:lastRenderedPageBreak/>
        <w:br w:type="page"/>
      </w:r>
    </w:p>
    <w:p w:rsidR="0062678D" w:rsidRDefault="0062678D" w:rsidP="0062678D">
      <w:bookmarkStart w:id="0" w:name="_GoBack"/>
      <w:bookmarkEnd w:id="0"/>
      <w:r w:rsidRPr="0062678D">
        <w:lastRenderedPageBreak/>
        <w:drawing>
          <wp:inline distT="0" distB="0" distL="0" distR="0" wp14:anchorId="49DC7425" wp14:editId="2DE9943E">
            <wp:extent cx="5943600" cy="58032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78D" w:rsidRDefault="0062678D" w:rsidP="0062678D"/>
    <w:p w:rsidR="0062678D" w:rsidRDefault="0062678D" w:rsidP="0062678D">
      <w:pPr>
        <w:pStyle w:val="ListParagraph"/>
        <w:numPr>
          <w:ilvl w:val="0"/>
          <w:numId w:val="3"/>
        </w:numPr>
      </w:pPr>
      <w:r>
        <w:t>Despite varied clinical experience, with minimal verbal instruction, IO catheter using an EZ-IO is faster and more successfully placed than jugular cut-downs in cadavers</w:t>
      </w:r>
    </w:p>
    <w:p w:rsidR="0062678D" w:rsidRDefault="0062678D" w:rsidP="0062678D"/>
    <w:p w:rsidR="0062678D" w:rsidRDefault="0062678D" w:rsidP="0062678D">
      <w:r w:rsidRPr="0062678D">
        <w:lastRenderedPageBreak/>
        <w:drawing>
          <wp:inline distT="0" distB="0" distL="0" distR="0" wp14:anchorId="365EAFF9" wp14:editId="50F4ADAE">
            <wp:extent cx="5943600" cy="63868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78D" w:rsidRDefault="0062678D" w:rsidP="0062678D">
      <w:pPr>
        <w:pStyle w:val="ListParagraph"/>
        <w:numPr>
          <w:ilvl w:val="0"/>
          <w:numId w:val="3"/>
        </w:numPr>
      </w:pPr>
      <w:r>
        <w:t>Fish oil IV is safe but no clear benefit as an anti-inflammatory was found at these doses</w:t>
      </w:r>
    </w:p>
    <w:p w:rsidR="0062678D" w:rsidRDefault="0062678D" w:rsidP="0062678D"/>
    <w:p w:rsidR="0062678D" w:rsidRDefault="0062678D" w:rsidP="0062678D">
      <w:r w:rsidRPr="0062678D">
        <w:lastRenderedPageBreak/>
        <w:drawing>
          <wp:inline distT="0" distB="0" distL="0" distR="0" wp14:anchorId="6FC5863A" wp14:editId="4FF168AB">
            <wp:extent cx="5943600" cy="58229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78D" w:rsidRDefault="0062678D" w:rsidP="0062678D"/>
    <w:p w:rsidR="0062678D" w:rsidRDefault="006A756F" w:rsidP="0062678D">
      <w:pPr>
        <w:pStyle w:val="ListParagraph"/>
        <w:numPr>
          <w:ilvl w:val="0"/>
          <w:numId w:val="3"/>
        </w:numPr>
      </w:pPr>
      <w:r>
        <w:t>31% Injection ports were contaminated on the 7</w:t>
      </w:r>
      <w:r w:rsidRPr="006A756F">
        <w:rPr>
          <w:vertAlign w:val="superscript"/>
        </w:rPr>
        <w:t>th</w:t>
      </w:r>
      <w:r>
        <w:t xml:space="preserve"> day</w:t>
      </w:r>
    </w:p>
    <w:p w:rsidR="006A756F" w:rsidRDefault="006A756F" w:rsidP="0062678D">
      <w:pPr>
        <w:pStyle w:val="ListParagraph"/>
        <w:numPr>
          <w:ilvl w:val="0"/>
          <w:numId w:val="3"/>
        </w:numPr>
      </w:pPr>
      <w:r>
        <w:t>More contamination near the sink</w:t>
      </w:r>
    </w:p>
    <w:p w:rsidR="00936179" w:rsidRDefault="00936179" w:rsidP="0062678D">
      <w:pPr>
        <w:pStyle w:val="ListParagraph"/>
        <w:numPr>
          <w:ilvl w:val="0"/>
          <w:numId w:val="3"/>
        </w:numPr>
      </w:pPr>
      <w:r>
        <w:t>No contamination day 0-2</w:t>
      </w:r>
    </w:p>
    <w:p w:rsidR="00936179" w:rsidRDefault="00936179" w:rsidP="00936179"/>
    <w:p w:rsidR="00936179" w:rsidRDefault="00936179" w:rsidP="00936179">
      <w:r w:rsidRPr="00936179">
        <w:lastRenderedPageBreak/>
        <w:drawing>
          <wp:inline distT="0" distB="0" distL="0" distR="0" wp14:anchorId="005F7CD4" wp14:editId="5BAECE77">
            <wp:extent cx="5943600" cy="51371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3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179" w:rsidRDefault="00936179" w:rsidP="00936179">
      <w:pPr>
        <w:pStyle w:val="ListParagraph"/>
        <w:numPr>
          <w:ilvl w:val="0"/>
          <w:numId w:val="4"/>
        </w:numPr>
      </w:pPr>
      <w:r>
        <w:t>Transient, severe PLE and intestinal inflammation</w:t>
      </w:r>
    </w:p>
    <w:p w:rsidR="00936179" w:rsidRDefault="00936179" w:rsidP="00936179"/>
    <w:p w:rsidR="00936179" w:rsidRDefault="00936179" w:rsidP="00936179">
      <w:r w:rsidRPr="00936179">
        <w:lastRenderedPageBreak/>
        <w:drawing>
          <wp:inline distT="0" distB="0" distL="0" distR="0" wp14:anchorId="2AA71828" wp14:editId="429EBEE8">
            <wp:extent cx="5943600" cy="60337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3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179" w:rsidRDefault="00936179" w:rsidP="00936179">
      <w:pPr>
        <w:pStyle w:val="ListParagraph"/>
      </w:pPr>
    </w:p>
    <w:p w:rsidR="00936179" w:rsidRDefault="00936179" w:rsidP="00936179">
      <w:pPr>
        <w:pStyle w:val="ListParagraph"/>
        <w:numPr>
          <w:ilvl w:val="0"/>
          <w:numId w:val="4"/>
        </w:numPr>
      </w:pPr>
      <w:r>
        <w:t>Fluid bolus on presentation and gallop/heart murmur development are clinically useful risk factors for fluid overload in UO cats</w:t>
      </w:r>
    </w:p>
    <w:p w:rsidR="00936179" w:rsidRDefault="00936179" w:rsidP="00936179"/>
    <w:p w:rsidR="00936179" w:rsidRDefault="00936179" w:rsidP="00936179">
      <w:r w:rsidRPr="00936179">
        <w:lastRenderedPageBreak/>
        <w:drawing>
          <wp:inline distT="0" distB="0" distL="0" distR="0" wp14:anchorId="5CF847B7" wp14:editId="3D09E6F5">
            <wp:extent cx="5943600" cy="61633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EB9" w:rsidRDefault="00ED2EB9" w:rsidP="00936179"/>
    <w:p w:rsidR="00ED2EB9" w:rsidRDefault="00ED2EB9" w:rsidP="00ED2EB9">
      <w:pPr>
        <w:pStyle w:val="ListParagraph"/>
        <w:numPr>
          <w:ilvl w:val="0"/>
          <w:numId w:val="4"/>
        </w:numPr>
      </w:pPr>
      <w:r>
        <w:t>22-77% dogs with GDV develop arrhythmias, in this study 68% had arrhythmias</w:t>
      </w:r>
    </w:p>
    <w:p w:rsidR="00875BB5" w:rsidRDefault="00875BB5" w:rsidP="00ED2EB9">
      <w:pPr>
        <w:pStyle w:val="ListParagraph"/>
        <w:numPr>
          <w:ilvl w:val="0"/>
          <w:numId w:val="4"/>
        </w:numPr>
      </w:pPr>
      <w:r>
        <w:t>Lactate was associated with gastric necrosis</w:t>
      </w:r>
    </w:p>
    <w:p w:rsidR="00875BB5" w:rsidRDefault="00875BB5" w:rsidP="00ED2EB9">
      <w:pPr>
        <w:pStyle w:val="ListParagraph"/>
        <w:numPr>
          <w:ilvl w:val="0"/>
          <w:numId w:val="4"/>
        </w:numPr>
      </w:pPr>
      <w:r>
        <w:t>Non-survival was associated with thicker heart walls, and small fluid volumes in the 1</w:t>
      </w:r>
      <w:r w:rsidRPr="00875BB5">
        <w:rPr>
          <w:vertAlign w:val="superscript"/>
        </w:rPr>
        <w:t>st</w:t>
      </w:r>
      <w:r>
        <w:t xml:space="preserve"> 24hr</w:t>
      </w:r>
    </w:p>
    <w:p w:rsidR="00875BB5" w:rsidRDefault="00875BB5" w:rsidP="00ED2EB9">
      <w:pPr>
        <w:pStyle w:val="ListParagraph"/>
        <w:numPr>
          <w:ilvl w:val="0"/>
          <w:numId w:val="4"/>
        </w:numPr>
      </w:pPr>
      <w:r>
        <w:t>Troponin was higher in in dogs with higher ventricular arrhythmia grade</w:t>
      </w:r>
    </w:p>
    <w:p w:rsidR="00875BB5" w:rsidRDefault="00875BB5" w:rsidP="00875BB5"/>
    <w:p w:rsidR="00875BB5" w:rsidRDefault="00875BB5" w:rsidP="00875BB5">
      <w:r w:rsidRPr="00875BB5">
        <w:lastRenderedPageBreak/>
        <w:drawing>
          <wp:inline distT="0" distB="0" distL="0" distR="0" wp14:anchorId="4C509819" wp14:editId="39BA789E">
            <wp:extent cx="5943600" cy="59328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BB5" w:rsidRDefault="00875BB5" w:rsidP="00875BB5"/>
    <w:p w:rsidR="00875BB5" w:rsidRDefault="001A65AA" w:rsidP="00875BB5">
      <w:pPr>
        <w:pStyle w:val="ListParagraph"/>
        <w:numPr>
          <w:ilvl w:val="0"/>
          <w:numId w:val="6"/>
        </w:numPr>
      </w:pPr>
      <w:r>
        <w:t>Presence and magnitude of hyperlactatemia may help identify high risk of mortality in dogs and cats</w:t>
      </w:r>
    </w:p>
    <w:p w:rsidR="001A65AA" w:rsidRDefault="001A65AA" w:rsidP="00875BB5">
      <w:pPr>
        <w:pStyle w:val="ListParagraph"/>
        <w:numPr>
          <w:ilvl w:val="0"/>
          <w:numId w:val="6"/>
        </w:numPr>
      </w:pPr>
      <w:r>
        <w:t>Lactate + acid base analysis has more value than lactate alone</w:t>
      </w:r>
    </w:p>
    <w:p w:rsidR="001A65AA" w:rsidRDefault="001A65AA" w:rsidP="001A65AA"/>
    <w:p w:rsidR="001A65AA" w:rsidRDefault="001A65AA" w:rsidP="001A65AA">
      <w:r w:rsidRPr="001A65AA">
        <w:lastRenderedPageBreak/>
        <w:drawing>
          <wp:inline distT="0" distB="0" distL="0" distR="0" wp14:anchorId="12DCE79B" wp14:editId="04C33B7D">
            <wp:extent cx="5943600" cy="52349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5AA" w:rsidRPr="001A65AA" w:rsidRDefault="001A65AA" w:rsidP="001A65AA">
      <w:pPr>
        <w:pStyle w:val="ListParagraph"/>
        <w:numPr>
          <w:ilvl w:val="0"/>
          <w:numId w:val="8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T</w:t>
      </w:r>
      <w:r w:rsidRPr="001A65AA">
        <w:rPr>
          <w:rFonts w:eastAsia="Times New Roman" w:cstheme="minorHAnsi"/>
          <w:color w:val="000000"/>
        </w:rPr>
        <w:t>ransducer was placed on the upper eyelid in a slightly temporal position along a transverse plane with the transducer indicator pointing toward midline to standardize the image plane</w:t>
      </w:r>
    </w:p>
    <w:p w:rsidR="001A65AA" w:rsidRPr="001A65AA" w:rsidRDefault="001A65AA" w:rsidP="001A65AA">
      <w:pPr>
        <w:pStyle w:val="ListParagraph"/>
        <w:numPr>
          <w:ilvl w:val="0"/>
          <w:numId w:val="8"/>
        </w:numPr>
        <w:rPr>
          <w:rFonts w:eastAsia="Times New Roman" w:cstheme="minorHAnsi"/>
          <w:color w:val="000000"/>
        </w:rPr>
      </w:pPr>
      <w:r w:rsidRPr="001A65AA">
        <w:rPr>
          <w:rFonts w:eastAsia="Times New Roman" w:cstheme="minorHAnsi"/>
          <w:color w:val="000000"/>
        </w:rPr>
        <w:t xml:space="preserve">The transducer </w:t>
      </w:r>
      <w:r>
        <w:rPr>
          <w:rFonts w:eastAsia="Times New Roman" w:cstheme="minorHAnsi"/>
          <w:color w:val="000000"/>
        </w:rPr>
        <w:t>is</w:t>
      </w:r>
      <w:r w:rsidRPr="001A65AA">
        <w:rPr>
          <w:rFonts w:eastAsia="Times New Roman" w:cstheme="minorHAnsi"/>
          <w:color w:val="000000"/>
        </w:rPr>
        <w:t xml:space="preserve"> fanned dorsally and ventrally until</w:t>
      </w:r>
      <w:r>
        <w:rPr>
          <w:rFonts w:eastAsia="Times New Roman" w:cstheme="minorHAnsi"/>
          <w:color w:val="000000"/>
        </w:rPr>
        <w:t xml:space="preserve"> </w:t>
      </w:r>
      <w:r w:rsidRPr="001A65AA">
        <w:rPr>
          <w:rFonts w:eastAsia="Times New Roman" w:cstheme="minorHAnsi"/>
          <w:color w:val="000000"/>
        </w:rPr>
        <w:t>the optic nerve was visualized and optimized in position.</w:t>
      </w:r>
    </w:p>
    <w:p w:rsidR="001A65AA" w:rsidRPr="001A65AA" w:rsidRDefault="001A65AA" w:rsidP="001A65AA">
      <w:pPr>
        <w:pStyle w:val="ListParagraph"/>
        <w:numPr>
          <w:ilvl w:val="0"/>
          <w:numId w:val="8"/>
        </w:numPr>
        <w:rPr>
          <w:rFonts w:eastAsia="Times New Roman" w:cstheme="minorHAnsi"/>
          <w:color w:val="000000"/>
        </w:rPr>
      </w:pPr>
      <w:r w:rsidRPr="001A65AA">
        <w:rPr>
          <w:rFonts w:eastAsia="Times New Roman" w:cstheme="minorHAnsi"/>
          <w:color w:val="000000"/>
        </w:rPr>
        <w:t>Visualization of the hyperechoic posterior lens capsule</w:t>
      </w:r>
      <w:r>
        <w:rPr>
          <w:rFonts w:eastAsia="Times New Roman" w:cstheme="minorHAnsi"/>
          <w:color w:val="000000"/>
        </w:rPr>
        <w:t xml:space="preserve"> </w:t>
      </w:r>
      <w:r w:rsidRPr="001A65AA">
        <w:rPr>
          <w:rFonts w:eastAsia="Times New Roman" w:cstheme="minorHAnsi"/>
          <w:color w:val="000000"/>
        </w:rPr>
        <w:t xml:space="preserve">was used as a landmark, as the optic nerve was </w:t>
      </w:r>
      <w:r>
        <w:rPr>
          <w:rFonts w:eastAsia="Times New Roman" w:cstheme="minorHAnsi"/>
          <w:color w:val="000000"/>
        </w:rPr>
        <w:t>iden</w:t>
      </w:r>
      <w:r w:rsidRPr="001A65AA">
        <w:rPr>
          <w:rFonts w:eastAsia="Times New Roman" w:cstheme="minorHAnsi"/>
          <w:color w:val="000000"/>
        </w:rPr>
        <w:t>tiﬁed caudal to the lens approaching the optic disc on</w:t>
      </w:r>
      <w:r>
        <w:rPr>
          <w:rFonts w:eastAsia="Times New Roman" w:cstheme="minorHAnsi"/>
          <w:color w:val="000000"/>
        </w:rPr>
        <w:t xml:space="preserve"> </w:t>
      </w:r>
      <w:r w:rsidRPr="001A65AA">
        <w:rPr>
          <w:rFonts w:eastAsia="Times New Roman" w:cstheme="minorHAnsi"/>
          <w:color w:val="000000"/>
        </w:rPr>
        <w:t xml:space="preserve">the retina. Depth was adjusted so that the image of </w:t>
      </w:r>
      <w:r>
        <w:rPr>
          <w:rFonts w:eastAsia="Times New Roman" w:cstheme="minorHAnsi"/>
          <w:color w:val="000000"/>
        </w:rPr>
        <w:t xml:space="preserve">the </w:t>
      </w:r>
      <w:r w:rsidRPr="001A65AA">
        <w:rPr>
          <w:rFonts w:eastAsia="Times New Roman" w:cstheme="minorHAnsi"/>
          <w:color w:val="000000"/>
        </w:rPr>
        <w:t>eye ﬁlled the screen, typically at 3–5 cm</w:t>
      </w:r>
    </w:p>
    <w:p w:rsidR="001A65AA" w:rsidRPr="001A65AA" w:rsidRDefault="001A65AA" w:rsidP="001A65AA">
      <w:pPr>
        <w:pStyle w:val="ListParagraph"/>
        <w:ind w:left="360"/>
        <w:rPr>
          <w:rFonts w:cstheme="minorHAnsi"/>
        </w:rPr>
      </w:pPr>
    </w:p>
    <w:p w:rsidR="001A65AA" w:rsidRDefault="001A65AA" w:rsidP="001A65AA">
      <w:pPr>
        <w:pStyle w:val="ListParagraph"/>
        <w:jc w:val="center"/>
      </w:pPr>
      <w:r w:rsidRPr="001A65AA">
        <w:lastRenderedPageBreak/>
        <w:drawing>
          <wp:inline distT="0" distB="0" distL="0" distR="0" wp14:anchorId="360399E4" wp14:editId="2BA9BD2B">
            <wp:extent cx="3543300" cy="3517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65AA" w:rsidSect="00692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45F6D"/>
    <w:multiLevelType w:val="hybridMultilevel"/>
    <w:tmpl w:val="43D23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A679A"/>
    <w:multiLevelType w:val="hybridMultilevel"/>
    <w:tmpl w:val="B0ECD2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5856C0"/>
    <w:multiLevelType w:val="hybridMultilevel"/>
    <w:tmpl w:val="B630E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168A6"/>
    <w:multiLevelType w:val="hybridMultilevel"/>
    <w:tmpl w:val="FA321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E3A9C"/>
    <w:multiLevelType w:val="hybridMultilevel"/>
    <w:tmpl w:val="6D68B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2403C"/>
    <w:multiLevelType w:val="hybridMultilevel"/>
    <w:tmpl w:val="758CF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43D2A"/>
    <w:multiLevelType w:val="hybridMultilevel"/>
    <w:tmpl w:val="F6908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040F4"/>
    <w:multiLevelType w:val="hybridMultilevel"/>
    <w:tmpl w:val="10389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CC"/>
    <w:rsid w:val="001A65AA"/>
    <w:rsid w:val="002B33EF"/>
    <w:rsid w:val="0062678D"/>
    <w:rsid w:val="00692D94"/>
    <w:rsid w:val="006A756F"/>
    <w:rsid w:val="00875BB5"/>
    <w:rsid w:val="00936179"/>
    <w:rsid w:val="00DF52A8"/>
    <w:rsid w:val="00ED2EB9"/>
    <w:rsid w:val="00F0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8CC06"/>
  <w14:defaultImageDpi w14:val="32767"/>
  <w15:chartTrackingRefBased/>
  <w15:docId w15:val="{F59C4C1C-EC76-EB43-A3FE-4579007B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3EF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1A65AA"/>
  </w:style>
  <w:style w:type="character" w:customStyle="1" w:styleId="a">
    <w:name w:val="_"/>
    <w:basedOn w:val="DefaultParagraphFont"/>
    <w:rsid w:val="001A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7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2018-02-01T16:29:00Z</dcterms:created>
  <dcterms:modified xsi:type="dcterms:W3CDTF">2018-02-01T20:52:00Z</dcterms:modified>
</cp:coreProperties>
</file>