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21993" w14:textId="77777777" w:rsidR="005E1555" w:rsidRDefault="005E1555"/>
    <w:p w14:paraId="57ABF81D" w14:textId="77777777" w:rsidR="005E1555" w:rsidRPr="000C0547" w:rsidRDefault="007F5AC1">
      <w:pPr>
        <w:rPr>
          <w:b/>
          <w:i/>
        </w:rPr>
      </w:pPr>
      <w:r w:rsidRPr="000C0547">
        <w:rPr>
          <w:b/>
          <w:i/>
        </w:rPr>
        <w:t>Davis DJ, Demianiuk RM,</w:t>
      </w:r>
      <w:r w:rsidR="00894B11" w:rsidRPr="000C0547">
        <w:rPr>
          <w:b/>
          <w:i/>
        </w:rPr>
        <w:t xml:space="preserve"> Musser J et al. Influence of preoperative septic peritonitis and anastomotic technique on dehiscence of enterectomy sites in dogs: a retrospective review of 210 anastomoses. Veterinary Surgery, 2018; 47: 125-129</w:t>
      </w:r>
    </w:p>
    <w:p w14:paraId="7B5A56F5" w14:textId="77777777" w:rsidR="00894B11" w:rsidRDefault="00894B11"/>
    <w:p w14:paraId="53C700D2" w14:textId="74D40453" w:rsidR="005E1555" w:rsidRDefault="000C0547" w:rsidP="00B367CA">
      <w:pPr>
        <w:pStyle w:val="ListParagraph"/>
        <w:numPr>
          <w:ilvl w:val="0"/>
          <w:numId w:val="3"/>
        </w:numPr>
      </w:pPr>
      <w:r>
        <w:t xml:space="preserve">Objective: </w:t>
      </w:r>
      <w:r w:rsidR="007B62EA">
        <w:t xml:space="preserve">to </w:t>
      </w:r>
      <w:r>
        <w:t>determine the influence of (A) pre-operative septic peritonitis and (B) hand-sewn vs. stapled technique, on the dehiscence of intestinal resection and anastomosis</w:t>
      </w:r>
    </w:p>
    <w:p w14:paraId="14775008" w14:textId="77777777" w:rsidR="001E75EE" w:rsidRDefault="001E75EE" w:rsidP="00B367CA">
      <w:pPr>
        <w:pStyle w:val="ListParagraph"/>
        <w:numPr>
          <w:ilvl w:val="0"/>
          <w:numId w:val="3"/>
        </w:numPr>
      </w:pPr>
      <w:r>
        <w:t>Known risk factors for intestinal resection/ anastomosis dehiscence: pre-operative septic peritonitis, pre-operative serum albumin &lt;2.5 g/dL, intraoperative hypotension</w:t>
      </w:r>
    </w:p>
    <w:p w14:paraId="76B11205" w14:textId="77777777" w:rsidR="00B93A3A" w:rsidRDefault="00441DCB" w:rsidP="00B367CA">
      <w:pPr>
        <w:pStyle w:val="ListParagraph"/>
        <w:numPr>
          <w:ilvl w:val="0"/>
          <w:numId w:val="3"/>
        </w:numPr>
      </w:pPr>
      <w:r>
        <w:t>Methods</w:t>
      </w:r>
    </w:p>
    <w:p w14:paraId="40461148" w14:textId="020D3B1D" w:rsidR="00B367CA" w:rsidRDefault="00B367CA" w:rsidP="00B93A3A">
      <w:pPr>
        <w:pStyle w:val="ListParagraph"/>
        <w:numPr>
          <w:ilvl w:val="1"/>
          <w:numId w:val="3"/>
        </w:numPr>
      </w:pPr>
      <w:r>
        <w:t>Retrospective study of cases from 2003-2013 at Michigan State University</w:t>
      </w:r>
    </w:p>
    <w:p w14:paraId="5B11D0D8" w14:textId="77777777" w:rsidR="00B367CA" w:rsidRDefault="00B367CA" w:rsidP="00B367CA">
      <w:pPr>
        <w:pStyle w:val="ListParagraph"/>
        <w:numPr>
          <w:ilvl w:val="1"/>
          <w:numId w:val="3"/>
        </w:numPr>
      </w:pPr>
      <w:r>
        <w:t>Inclusions: survival b</w:t>
      </w:r>
      <w:r w:rsidR="009147BC">
        <w:t>eyond 72 hours post-anesthesia</w:t>
      </w:r>
      <w:r w:rsidR="005E3E23">
        <w:t xml:space="preserve"> – attempt to </w:t>
      </w:r>
      <w:r w:rsidR="00E70360">
        <w:t xml:space="preserve">eliminate complications due to inadequate surgical technique </w:t>
      </w:r>
    </w:p>
    <w:p w14:paraId="5585D891" w14:textId="70105459" w:rsidR="009147BC" w:rsidRDefault="009147BC" w:rsidP="00B367CA">
      <w:pPr>
        <w:pStyle w:val="ListParagraph"/>
        <w:numPr>
          <w:ilvl w:val="1"/>
          <w:numId w:val="3"/>
        </w:numPr>
      </w:pPr>
      <w:r>
        <w:t xml:space="preserve">Data collected: signalment, weight, presence of pre-operative septic peritonitis, pre-operative albumin concentration (&lt;2.5 g/dL), </w:t>
      </w:r>
      <w:r w:rsidR="00B93A3A">
        <w:t xml:space="preserve">indication for </w:t>
      </w:r>
      <w:r>
        <w:t>rese</w:t>
      </w:r>
      <w:r w:rsidR="00B93A3A">
        <w:t>ction/ anastomosis</w:t>
      </w:r>
      <w:r>
        <w:t xml:space="preserve">, location of resection/ anastomosis, anastomotic technique (stapled vs hand sewn), suture type, occurrence of dehiscence, time to dehiscence, duration of hospitalization, other post-op complications </w:t>
      </w:r>
    </w:p>
    <w:p w14:paraId="0AD21450" w14:textId="041CE59A" w:rsidR="009147BC" w:rsidRDefault="009147BC" w:rsidP="00B367CA">
      <w:pPr>
        <w:pStyle w:val="ListParagraph"/>
        <w:numPr>
          <w:ilvl w:val="1"/>
          <w:numId w:val="3"/>
        </w:numPr>
      </w:pPr>
      <w:r>
        <w:t>Pre-operative septic peritonitis = intra or extracellu</w:t>
      </w:r>
      <w:r w:rsidR="00FE51BD">
        <w:t>l</w:t>
      </w:r>
      <w:r>
        <w:t xml:space="preserve">ar bacteria on cytology, positive bacterial culture, identification of gross leakage at surgery, or evisceration or penetrating foreign body </w:t>
      </w:r>
    </w:p>
    <w:p w14:paraId="3861E82D" w14:textId="77777777" w:rsidR="009147BC" w:rsidRDefault="009147BC" w:rsidP="00B367CA">
      <w:pPr>
        <w:pStyle w:val="ListParagraph"/>
        <w:numPr>
          <w:ilvl w:val="1"/>
          <w:numId w:val="3"/>
        </w:numPr>
      </w:pPr>
      <w:r>
        <w:t xml:space="preserve">Post-operative dehiscence = presence of intra or extracellular bacterial (if previously resolved), or confirmation of gross leakage at repeat surgery or necropsy </w:t>
      </w:r>
    </w:p>
    <w:p w14:paraId="1F14D925" w14:textId="2B4F7448" w:rsidR="00CA3213" w:rsidRDefault="00CA3213" w:rsidP="00B367CA">
      <w:pPr>
        <w:pStyle w:val="ListParagraph"/>
        <w:numPr>
          <w:ilvl w:val="1"/>
          <w:numId w:val="3"/>
        </w:numPr>
      </w:pPr>
      <w:r>
        <w:t>Stapled anastomosis = functional end to end using multi</w:t>
      </w:r>
      <w:r w:rsidR="00417657">
        <w:t>-</w:t>
      </w:r>
      <w:r>
        <w:t>fire stapler</w:t>
      </w:r>
    </w:p>
    <w:p w14:paraId="7DDB2F43" w14:textId="77777777" w:rsidR="009147BC" w:rsidRDefault="009147BC" w:rsidP="009147BC">
      <w:pPr>
        <w:pStyle w:val="ListParagraph"/>
        <w:numPr>
          <w:ilvl w:val="0"/>
          <w:numId w:val="3"/>
        </w:numPr>
      </w:pPr>
      <w:r>
        <w:t xml:space="preserve">Results </w:t>
      </w:r>
    </w:p>
    <w:p w14:paraId="5CB120D6" w14:textId="77777777" w:rsidR="009147BC" w:rsidRDefault="009147BC" w:rsidP="009147BC">
      <w:pPr>
        <w:pStyle w:val="ListParagraph"/>
        <w:numPr>
          <w:ilvl w:val="1"/>
          <w:numId w:val="3"/>
        </w:numPr>
      </w:pPr>
      <w:r>
        <w:t xml:space="preserve">210 procedures </w:t>
      </w:r>
    </w:p>
    <w:p w14:paraId="1245A98E" w14:textId="308A6313" w:rsidR="009147BC" w:rsidRDefault="00FE51BD" w:rsidP="009147BC">
      <w:pPr>
        <w:pStyle w:val="ListParagraph"/>
        <w:numPr>
          <w:ilvl w:val="1"/>
          <w:numId w:val="3"/>
        </w:numPr>
      </w:pPr>
      <w:r>
        <w:t xml:space="preserve">38% </w:t>
      </w:r>
      <w:r w:rsidR="009147BC">
        <w:t xml:space="preserve">had pre-operative septic peritonitis </w:t>
      </w:r>
    </w:p>
    <w:p w14:paraId="15867113" w14:textId="77777777" w:rsidR="009147BC" w:rsidRDefault="009147BC" w:rsidP="009147BC">
      <w:pPr>
        <w:pStyle w:val="ListParagraph"/>
        <w:numPr>
          <w:ilvl w:val="1"/>
          <w:numId w:val="3"/>
        </w:numPr>
      </w:pPr>
      <w:r>
        <w:t xml:space="preserve">52% of all patients who had pre-operative albumin level taken (74%) were hypoalbuminemic, 73% of the pre-op septic dogs were hypoalbuminemic </w:t>
      </w:r>
    </w:p>
    <w:p w14:paraId="61AC9A20" w14:textId="77777777" w:rsidR="00367EE4" w:rsidRDefault="00CA3213" w:rsidP="009147BC">
      <w:pPr>
        <w:pStyle w:val="ListParagraph"/>
        <w:numPr>
          <w:ilvl w:val="1"/>
          <w:numId w:val="3"/>
        </w:numPr>
      </w:pPr>
      <w:r>
        <w:t xml:space="preserve">Incidence of post-operative dehiscence = 11.4% of procedures </w:t>
      </w:r>
    </w:p>
    <w:p w14:paraId="35A1AE9E" w14:textId="77777777" w:rsidR="000B411D" w:rsidRDefault="000B411D" w:rsidP="000B411D">
      <w:pPr>
        <w:pStyle w:val="ListParagraph"/>
        <w:numPr>
          <w:ilvl w:val="2"/>
          <w:numId w:val="3"/>
        </w:numPr>
      </w:pPr>
      <w:r>
        <w:t xml:space="preserve">Incidence without pre-op sepsis = 6.6% (8/122) </w:t>
      </w:r>
    </w:p>
    <w:p w14:paraId="50EF1526" w14:textId="4BB66996" w:rsidR="00FE51BD" w:rsidRDefault="00FE51BD" w:rsidP="00FE51BD">
      <w:pPr>
        <w:pStyle w:val="ListParagraph"/>
        <w:numPr>
          <w:ilvl w:val="3"/>
          <w:numId w:val="3"/>
        </w:numPr>
      </w:pPr>
      <w:r>
        <w:t>Patients with pre-operative septic peritonitis were 3.8x more likely to dehisce than patients without</w:t>
      </w:r>
    </w:p>
    <w:p w14:paraId="16B4B9F2" w14:textId="77777777" w:rsidR="000B411D" w:rsidRDefault="000B411D" w:rsidP="000B411D">
      <w:pPr>
        <w:pStyle w:val="ListParagraph"/>
        <w:numPr>
          <w:ilvl w:val="2"/>
          <w:numId w:val="3"/>
        </w:numPr>
      </w:pPr>
      <w:r>
        <w:t>Incidence with pre-op sepsis = 21.1% (16/76)</w:t>
      </w:r>
    </w:p>
    <w:p w14:paraId="2E4E2486" w14:textId="77777777" w:rsidR="000B411D" w:rsidRDefault="000B411D" w:rsidP="009147BC">
      <w:pPr>
        <w:pStyle w:val="ListParagraph"/>
        <w:numPr>
          <w:ilvl w:val="1"/>
          <w:numId w:val="3"/>
        </w:numPr>
      </w:pPr>
      <w:r>
        <w:t>Average time to dehiscence = 4.7 days (3 to 11)</w:t>
      </w:r>
    </w:p>
    <w:p w14:paraId="06DBF795" w14:textId="77777777" w:rsidR="000B411D" w:rsidRDefault="000B411D" w:rsidP="009147BC">
      <w:pPr>
        <w:pStyle w:val="ListParagraph"/>
        <w:numPr>
          <w:ilvl w:val="1"/>
          <w:numId w:val="3"/>
        </w:numPr>
      </w:pPr>
      <w:r>
        <w:t>No significant difference in anastomotic technique without pre-op sepsis</w:t>
      </w:r>
    </w:p>
    <w:p w14:paraId="3FB5CCDF" w14:textId="4807A313" w:rsidR="000B411D" w:rsidRDefault="000B411D" w:rsidP="009147BC">
      <w:pPr>
        <w:pStyle w:val="ListParagraph"/>
        <w:numPr>
          <w:ilvl w:val="1"/>
          <w:numId w:val="3"/>
        </w:numPr>
      </w:pPr>
      <w:r>
        <w:t>Stapled anastomosis less likely to dehisce in pre-op sepsis (9.7% (3/31) when stapled versus 28.9% (13/45)</w:t>
      </w:r>
      <w:r w:rsidR="00FE51BD">
        <w:t xml:space="preserve"> with hand sewn)</w:t>
      </w:r>
    </w:p>
    <w:p w14:paraId="488A7298" w14:textId="547F9DD6" w:rsidR="006D7A2F" w:rsidRDefault="006D7A2F" w:rsidP="009147BC">
      <w:pPr>
        <w:pStyle w:val="ListParagraph"/>
        <w:numPr>
          <w:ilvl w:val="1"/>
          <w:numId w:val="3"/>
        </w:numPr>
      </w:pPr>
      <w:r>
        <w:t>Patients with hand-sewn anastomosis were 3.3 times more likely to dehisce than patient’s without</w:t>
      </w:r>
      <w:r w:rsidR="00FE51BD">
        <w:t xml:space="preserve"> (overall population)</w:t>
      </w:r>
      <w:r w:rsidR="006C5AE8">
        <w:t xml:space="preserve">. No difference in patients </w:t>
      </w:r>
      <w:r w:rsidR="00FE51BD">
        <w:t>without</w:t>
      </w:r>
      <w:r w:rsidR="006C5AE8">
        <w:t xml:space="preserve"> pre-operative septic peritonitis</w:t>
      </w:r>
    </w:p>
    <w:p w14:paraId="025B0C69" w14:textId="77777777" w:rsidR="006D7A2F" w:rsidRDefault="006D7A2F" w:rsidP="009147BC">
      <w:pPr>
        <w:pStyle w:val="ListParagraph"/>
        <w:numPr>
          <w:ilvl w:val="1"/>
          <w:numId w:val="3"/>
        </w:numPr>
      </w:pPr>
      <w:r>
        <w:t>Mortality rate for dehiscence =66.7%</w:t>
      </w:r>
    </w:p>
    <w:p w14:paraId="79F7CDCA" w14:textId="77777777" w:rsidR="006D7A2F" w:rsidRDefault="006D7A2F" w:rsidP="009147BC">
      <w:pPr>
        <w:pStyle w:val="ListParagraph"/>
        <w:numPr>
          <w:ilvl w:val="1"/>
          <w:numId w:val="3"/>
        </w:numPr>
      </w:pPr>
      <w:r>
        <w:lastRenderedPageBreak/>
        <w:t>Average duration of hospitalization was 4.3 days (1-13 days)</w:t>
      </w:r>
    </w:p>
    <w:p w14:paraId="329EC0B0" w14:textId="77777777" w:rsidR="006D7A2F" w:rsidRDefault="006D7A2F" w:rsidP="006D7A2F">
      <w:pPr>
        <w:pStyle w:val="ListParagraph"/>
        <w:numPr>
          <w:ilvl w:val="0"/>
          <w:numId w:val="3"/>
        </w:numPr>
      </w:pPr>
      <w:r>
        <w:t>Conclusions</w:t>
      </w:r>
    </w:p>
    <w:p w14:paraId="0F52E58D" w14:textId="77777777" w:rsidR="006D7A2F" w:rsidRDefault="006D7A2F" w:rsidP="006D7A2F">
      <w:pPr>
        <w:pStyle w:val="ListParagraph"/>
        <w:numPr>
          <w:ilvl w:val="1"/>
          <w:numId w:val="3"/>
        </w:numPr>
      </w:pPr>
      <w:r>
        <w:t xml:space="preserve">Pre-operative septic peritonitis and hand-sewn anastomosis are both risk factors for intestinal resection/ anastomosis </w:t>
      </w:r>
      <w:r w:rsidR="00D82C89">
        <w:t>dehiscence</w:t>
      </w:r>
      <w:r>
        <w:t xml:space="preserve"> </w:t>
      </w:r>
    </w:p>
    <w:p w14:paraId="7A3CFBE1" w14:textId="77777777" w:rsidR="006C5AE8" w:rsidRDefault="00F56CDA" w:rsidP="006D7A2F">
      <w:pPr>
        <w:pStyle w:val="ListParagraph"/>
        <w:numPr>
          <w:ilvl w:val="1"/>
          <w:numId w:val="3"/>
        </w:numPr>
      </w:pPr>
      <w:r>
        <w:t xml:space="preserve">Patients with pre-operative septic peritonitis are a unique patient population – consider stapled anastomosis vs hand sewn </w:t>
      </w:r>
      <w:r w:rsidR="006C5AE8">
        <w:t xml:space="preserve"> </w:t>
      </w:r>
    </w:p>
    <w:p w14:paraId="1097E6A5" w14:textId="77777777" w:rsidR="00212FA0" w:rsidRDefault="006C27A9" w:rsidP="006D7A2F">
      <w:pPr>
        <w:pStyle w:val="ListParagraph"/>
        <w:numPr>
          <w:ilvl w:val="1"/>
          <w:numId w:val="3"/>
        </w:numPr>
      </w:pPr>
      <w:r>
        <w:t>Possibility of</w:t>
      </w:r>
      <w:r w:rsidR="00212FA0">
        <w:t xml:space="preserve"> selection bias </w:t>
      </w:r>
    </w:p>
    <w:p w14:paraId="35C44B05" w14:textId="55B51F30" w:rsidR="004B382F" w:rsidRDefault="00162125" w:rsidP="00162125">
      <w:pPr>
        <w:pStyle w:val="ListParagraph"/>
        <w:numPr>
          <w:ilvl w:val="1"/>
          <w:numId w:val="3"/>
        </w:numPr>
      </w:pPr>
      <w:r w:rsidRPr="004B382F">
        <w:rPr>
          <w:i/>
        </w:rPr>
        <w:t xml:space="preserve">Duell JR, Thieman Mankin KM, Rochat MC, et al. Frequency of dehiscence in hand-sutured and stapled intestinal anastomoses in dogs. Vet Surg. </w:t>
      </w:r>
      <w:r w:rsidR="00FB0957" w:rsidRPr="004B382F">
        <w:rPr>
          <w:i/>
        </w:rPr>
        <w:t>2016; 45:100</w:t>
      </w:r>
      <w:r w:rsidRPr="004B382F">
        <w:rPr>
          <w:i/>
        </w:rPr>
        <w:t>-103.</w:t>
      </w:r>
      <w:r w:rsidRPr="00162125">
        <w:t xml:space="preserve"> </w:t>
      </w:r>
    </w:p>
    <w:p w14:paraId="6629914C" w14:textId="467ED85B" w:rsidR="00162125" w:rsidRPr="00162125" w:rsidRDefault="00162125" w:rsidP="004B382F">
      <w:pPr>
        <w:pStyle w:val="ListParagraph"/>
        <w:numPr>
          <w:ilvl w:val="2"/>
          <w:numId w:val="3"/>
        </w:numPr>
      </w:pPr>
      <w:r>
        <w:t>214 dog, no difference in dehiscence between stapled and hand-sewn</w:t>
      </w:r>
    </w:p>
    <w:p w14:paraId="0FC4AC69" w14:textId="66F7D9BE" w:rsidR="004B382F" w:rsidRPr="004B382F" w:rsidRDefault="004B382F" w:rsidP="004B382F">
      <w:pPr>
        <w:pStyle w:val="ListParagraph"/>
        <w:numPr>
          <w:ilvl w:val="1"/>
          <w:numId w:val="3"/>
        </w:numPr>
        <w:rPr>
          <w:i/>
        </w:rPr>
      </w:pPr>
      <w:r w:rsidRPr="004B382F">
        <w:rPr>
          <w:i/>
        </w:rPr>
        <w:t xml:space="preserve">Farrah JP, Lauer CW, Bray MS, et al. Stapled versus hand-sewn anastomoses in emergency general surgery: a retrospective review of outcomes in a unique patient population. J Trauma Acute Care Surg. </w:t>
      </w:r>
      <w:r w:rsidR="00FB0957" w:rsidRPr="004B382F">
        <w:rPr>
          <w:i/>
        </w:rPr>
        <w:t>2013; 74:1187</w:t>
      </w:r>
      <w:r w:rsidRPr="004B382F">
        <w:rPr>
          <w:i/>
        </w:rPr>
        <w:t xml:space="preserve">-1194. </w:t>
      </w:r>
    </w:p>
    <w:p w14:paraId="0EE72B55" w14:textId="0716E9E7" w:rsidR="00144A5B" w:rsidRPr="00144A5B" w:rsidRDefault="00144A5B" w:rsidP="004B382F">
      <w:pPr>
        <w:pStyle w:val="ListParagraph"/>
        <w:numPr>
          <w:ilvl w:val="2"/>
          <w:numId w:val="3"/>
        </w:numPr>
      </w:pPr>
      <w:r>
        <w:t>Humans: stapled anastomo</w:t>
      </w:r>
      <w:r w:rsidRPr="00144A5B">
        <w:t xml:space="preserve">ses were more than twice as likely to fail than hand-sewn anastomoses </w:t>
      </w:r>
    </w:p>
    <w:p w14:paraId="08CA4D7A" w14:textId="77777777" w:rsidR="004B382F" w:rsidRPr="004B382F" w:rsidRDefault="004B382F" w:rsidP="004B382F">
      <w:pPr>
        <w:pStyle w:val="ListParagraph"/>
        <w:numPr>
          <w:ilvl w:val="1"/>
          <w:numId w:val="3"/>
        </w:numPr>
        <w:rPr>
          <w:i/>
        </w:rPr>
      </w:pPr>
      <w:r w:rsidRPr="004B382F">
        <w:rPr>
          <w:i/>
        </w:rPr>
        <w:t>Choy PYG, Bissett IP, Docherty JG, Parry BR, Merrie AE. Stapled versus hand-sewn methods for ileocolic anastomoses. Cochrane Database Syst Rev. 2011, Issue 9.</w:t>
      </w:r>
    </w:p>
    <w:p w14:paraId="35317612" w14:textId="3F45D6D7" w:rsidR="004B382F" w:rsidRPr="004B382F" w:rsidRDefault="004B382F" w:rsidP="004B382F">
      <w:pPr>
        <w:pStyle w:val="ListParagraph"/>
        <w:numPr>
          <w:ilvl w:val="2"/>
          <w:numId w:val="3"/>
        </w:numPr>
      </w:pPr>
      <w:r>
        <w:t>Stapled anastomoses per</w:t>
      </w:r>
      <w:r w:rsidRPr="004B382F">
        <w:t xml:space="preserve">formed by novice surgeons </w:t>
      </w:r>
      <w:r>
        <w:t>and stapled ileocolic anastomo</w:t>
      </w:r>
      <w:r w:rsidRPr="004B382F">
        <w:t>ses, respectively, were less likely to dehisce than their hand- sewn counterpart</w:t>
      </w:r>
      <w:r>
        <w:t>s</w:t>
      </w:r>
    </w:p>
    <w:p w14:paraId="42A9D8E2" w14:textId="40913A7A" w:rsidR="00162125" w:rsidRDefault="00162125" w:rsidP="004B382F"/>
    <w:p w14:paraId="2E77FDD1" w14:textId="77777777" w:rsidR="006C27A9" w:rsidRDefault="006C27A9" w:rsidP="006C27A9"/>
    <w:p w14:paraId="4C510567" w14:textId="77777777" w:rsidR="006C27A9" w:rsidRDefault="006C27A9" w:rsidP="006C27A9"/>
    <w:p w14:paraId="473FFA60" w14:textId="77777777" w:rsidR="00DD0FFC" w:rsidRDefault="006C27A9" w:rsidP="006C27A9">
      <w:pPr>
        <w:rPr>
          <w:b/>
          <w:i/>
        </w:rPr>
      </w:pPr>
      <w:r w:rsidRPr="00EA7B97">
        <w:rPr>
          <w:b/>
          <w:i/>
        </w:rPr>
        <w:t>Brisson BA, Wainberg SH, Malek S et al. Risk factors and prognostic indicators for surgical outcome of dogs with esophageal foreign body obstructions. JAVMA 2018; 252: 301-308.</w:t>
      </w:r>
    </w:p>
    <w:p w14:paraId="754FD1AA" w14:textId="77777777" w:rsidR="004B382F" w:rsidRPr="00EA7B97" w:rsidRDefault="004B382F" w:rsidP="006C27A9">
      <w:pPr>
        <w:rPr>
          <w:b/>
          <w:i/>
        </w:rPr>
      </w:pPr>
    </w:p>
    <w:p w14:paraId="5B492F63" w14:textId="77F7E13A" w:rsidR="006C27A9" w:rsidRDefault="00EA7B97" w:rsidP="00047C6F">
      <w:pPr>
        <w:pStyle w:val="ListParagraph"/>
        <w:numPr>
          <w:ilvl w:val="0"/>
          <w:numId w:val="4"/>
        </w:numPr>
      </w:pPr>
      <w:r>
        <w:t xml:space="preserve">Objective: identification of factors that could predict the need for surgical intervention, complications and outcome in dogs with esophageal foreign bodies </w:t>
      </w:r>
    </w:p>
    <w:p w14:paraId="348546BF" w14:textId="3D73D44F" w:rsidR="00EA7B97" w:rsidRDefault="00EA7B97" w:rsidP="00047C6F">
      <w:pPr>
        <w:pStyle w:val="ListParagraph"/>
        <w:numPr>
          <w:ilvl w:val="0"/>
          <w:numId w:val="4"/>
        </w:numPr>
      </w:pPr>
      <w:r>
        <w:t xml:space="preserve">Retrospective of OVC records from 1995 to 2014 </w:t>
      </w:r>
    </w:p>
    <w:p w14:paraId="7B887816" w14:textId="25E5FF72" w:rsidR="00EA7B97" w:rsidRDefault="004B382F" w:rsidP="00047C6F">
      <w:pPr>
        <w:pStyle w:val="ListParagraph"/>
        <w:numPr>
          <w:ilvl w:val="0"/>
          <w:numId w:val="4"/>
        </w:numPr>
      </w:pPr>
      <w:r>
        <w:t>Exclusions: dogs that passed</w:t>
      </w:r>
      <w:r w:rsidR="00EA7B97">
        <w:t xml:space="preserve"> the esophageal FB without any intervention </w:t>
      </w:r>
    </w:p>
    <w:p w14:paraId="16BE134B" w14:textId="5DFAD7A7" w:rsidR="001B3B27" w:rsidRDefault="001B3B27" w:rsidP="00047C6F">
      <w:pPr>
        <w:pStyle w:val="ListParagraph"/>
        <w:numPr>
          <w:ilvl w:val="0"/>
          <w:numId w:val="4"/>
        </w:numPr>
      </w:pPr>
      <w:r>
        <w:t>Results</w:t>
      </w:r>
    </w:p>
    <w:p w14:paraId="14F6DFF8" w14:textId="7AE00B42" w:rsidR="001B3B27" w:rsidRDefault="001B3B27" w:rsidP="001B3B27">
      <w:pPr>
        <w:pStyle w:val="ListParagraph"/>
        <w:numPr>
          <w:ilvl w:val="1"/>
          <w:numId w:val="4"/>
        </w:numPr>
      </w:pPr>
      <w:r>
        <w:t xml:space="preserve">223 dogs met inclusion criteria </w:t>
      </w:r>
      <w:r w:rsidR="00DC5215">
        <w:t>– Terrier breeds overrepresented (32%)</w:t>
      </w:r>
    </w:p>
    <w:p w14:paraId="17C91493" w14:textId="4A14678A" w:rsidR="002205C9" w:rsidRDefault="000E770C" w:rsidP="001B3B27">
      <w:pPr>
        <w:pStyle w:val="ListParagraph"/>
        <w:numPr>
          <w:ilvl w:val="1"/>
          <w:numId w:val="4"/>
        </w:numPr>
      </w:pPr>
      <w:r>
        <w:t>Median duration of</w:t>
      </w:r>
      <w:r w:rsidR="002205C9">
        <w:t xml:space="preserve"> entrapment 1 day (0.1 to 14 days) </w:t>
      </w:r>
    </w:p>
    <w:p w14:paraId="7425B860" w14:textId="61ED8318" w:rsidR="00BD3DF4" w:rsidRDefault="004B382F" w:rsidP="001B3B27">
      <w:pPr>
        <w:pStyle w:val="ListParagraph"/>
        <w:numPr>
          <w:ilvl w:val="1"/>
          <w:numId w:val="4"/>
        </w:numPr>
      </w:pPr>
      <w:r>
        <w:t xml:space="preserve">A </w:t>
      </w:r>
      <w:r w:rsidR="005C3C38">
        <w:t xml:space="preserve">longer entrapment period </w:t>
      </w:r>
      <w:r w:rsidR="00C17D7D">
        <w:t xml:space="preserve">was associated with a greater likelihood for need of surgical intervention and overall poorer outcome </w:t>
      </w:r>
      <w:r w:rsidR="00975FF1">
        <w:sym w:font="Wingdings" w:char="F0E0"/>
      </w:r>
      <w:r w:rsidR="00975FF1">
        <w:t xml:space="preserve"> potentiall</w:t>
      </w:r>
      <w:r>
        <w:t>y</w:t>
      </w:r>
      <w:r w:rsidR="00975FF1">
        <w:t xml:space="preserve"> due to longer entrapment period leading to esophageal ulceration or perforation, or post-entrapment stricture </w:t>
      </w:r>
    </w:p>
    <w:p w14:paraId="70EC66A3" w14:textId="4CD11774" w:rsidR="005C3C38" w:rsidRDefault="005C3C38" w:rsidP="001B3B27">
      <w:pPr>
        <w:pStyle w:val="ListParagraph"/>
        <w:numPr>
          <w:ilvl w:val="1"/>
          <w:numId w:val="4"/>
        </w:numPr>
      </w:pPr>
      <w:r>
        <w:t>5.8% of cases owners were not aware that a foreign body had been ingested</w:t>
      </w:r>
    </w:p>
    <w:p w14:paraId="382A60D2" w14:textId="0C7D9BB4" w:rsidR="005C3C38" w:rsidRDefault="005C3C38" w:rsidP="001B3B27">
      <w:pPr>
        <w:pStyle w:val="ListParagraph"/>
        <w:numPr>
          <w:ilvl w:val="1"/>
          <w:numId w:val="4"/>
        </w:numPr>
      </w:pPr>
      <w:r>
        <w:t>Most common clinical signs: vomiting, retching, lethargy</w:t>
      </w:r>
    </w:p>
    <w:p w14:paraId="1360B136" w14:textId="52E242E8" w:rsidR="00400644" w:rsidRDefault="003D610F" w:rsidP="00400644">
      <w:pPr>
        <w:pStyle w:val="ListParagraph"/>
        <w:numPr>
          <w:ilvl w:val="2"/>
          <w:numId w:val="4"/>
        </w:numPr>
      </w:pPr>
      <w:r>
        <w:t xml:space="preserve">Dogs that ended up requiring surgery were 2.6x more likely to have a </w:t>
      </w:r>
      <w:r w:rsidR="00C17D7D">
        <w:t>clinical sign</w:t>
      </w:r>
      <w:r>
        <w:t xml:space="preserve"> of anorexia, 2.5x more likely with lethargy </w:t>
      </w:r>
    </w:p>
    <w:p w14:paraId="10BC33E7" w14:textId="77777777" w:rsidR="00400644" w:rsidRDefault="00400644" w:rsidP="00400644">
      <w:pPr>
        <w:pStyle w:val="ListParagraph"/>
        <w:numPr>
          <w:ilvl w:val="2"/>
          <w:numId w:val="4"/>
        </w:numPr>
      </w:pPr>
    </w:p>
    <w:p w14:paraId="13927091" w14:textId="1D3693FB" w:rsidR="00400644" w:rsidRDefault="00400644" w:rsidP="00400644">
      <w:pPr>
        <w:ind w:left="2037"/>
      </w:pPr>
      <w:r>
        <w:rPr>
          <w:noProof/>
        </w:rPr>
        <w:drawing>
          <wp:inline distT="0" distB="0" distL="0" distR="0" wp14:anchorId="51D7C825" wp14:editId="48272862">
            <wp:extent cx="3214489" cy="2558540"/>
            <wp:effectExtent l="0" t="0" r="1143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1-29 at 10.05.44 PM.png"/>
                    <pic:cNvPicPr/>
                  </pic:nvPicPr>
                  <pic:blipFill>
                    <a:blip r:embed="rId5">
                      <a:extLst>
                        <a:ext uri="{28A0092B-C50C-407E-A947-70E740481C1C}">
                          <a14:useLocalDpi xmlns:a14="http://schemas.microsoft.com/office/drawing/2010/main" val="0"/>
                        </a:ext>
                      </a:extLst>
                    </a:blip>
                    <a:stretch>
                      <a:fillRect/>
                    </a:stretch>
                  </pic:blipFill>
                  <pic:spPr>
                    <a:xfrm>
                      <a:off x="0" y="0"/>
                      <a:ext cx="3265044" cy="2598779"/>
                    </a:xfrm>
                    <a:prstGeom prst="rect">
                      <a:avLst/>
                    </a:prstGeom>
                  </pic:spPr>
                </pic:pic>
              </a:graphicData>
            </a:graphic>
          </wp:inline>
        </w:drawing>
      </w:r>
    </w:p>
    <w:p w14:paraId="1D73599E" w14:textId="06E061B2" w:rsidR="00356A20" w:rsidRDefault="00975FF1" w:rsidP="00356A20">
      <w:pPr>
        <w:pStyle w:val="ListParagraph"/>
        <w:numPr>
          <w:ilvl w:val="1"/>
          <w:numId w:val="4"/>
        </w:numPr>
      </w:pPr>
      <w:r>
        <w:t>Higher body weight was associated with n</w:t>
      </w:r>
      <w:r w:rsidR="004B382F">
        <w:t xml:space="preserve">eed for surgical intervention </w:t>
      </w:r>
      <w:r w:rsidR="004B382F">
        <w:sym w:font="Wingdings" w:char="F0E0"/>
      </w:r>
      <w:r>
        <w:t xml:space="preserve"> possibly because access to the foreign body </w:t>
      </w:r>
      <w:r w:rsidR="004B382F">
        <w:t xml:space="preserve">was difficult </w:t>
      </w:r>
      <w:r>
        <w:t xml:space="preserve">due to the longer length of esophagus and presumably larger foreign body size </w:t>
      </w:r>
      <w:r w:rsidR="00356A20">
        <w:t xml:space="preserve"> </w:t>
      </w:r>
    </w:p>
    <w:p w14:paraId="71B3624C" w14:textId="58ABD383" w:rsidR="00356A20" w:rsidRDefault="00356A20" w:rsidP="00356A20">
      <w:pPr>
        <w:pStyle w:val="ListParagraph"/>
        <w:numPr>
          <w:ilvl w:val="1"/>
          <w:numId w:val="4"/>
        </w:numPr>
      </w:pPr>
      <w:r>
        <w:t xml:space="preserve">Repeat imaging at the referral centre revealed that 99.2% of foreign bodies had an unchanged position from the rDVM radiographs  </w:t>
      </w:r>
    </w:p>
    <w:p w14:paraId="1F525B08" w14:textId="2219AFC2" w:rsidR="00400644" w:rsidRDefault="00400644" w:rsidP="00356A20">
      <w:pPr>
        <w:pStyle w:val="ListParagraph"/>
        <w:numPr>
          <w:ilvl w:val="1"/>
          <w:numId w:val="4"/>
        </w:numPr>
      </w:pPr>
      <w:r>
        <w:t>Foreign body types: 60% bones, 10.3% rawhide, 8.9% fishhook, 4.9% meat, 3.6% apple, others: toys, dog treats, needles, plants, pig ears, feeding tube, skewers</w:t>
      </w:r>
    </w:p>
    <w:p w14:paraId="3868A89F" w14:textId="4E7870B4" w:rsidR="00400644" w:rsidRDefault="00400644" w:rsidP="00356A20">
      <w:pPr>
        <w:pStyle w:val="ListParagraph"/>
        <w:numPr>
          <w:ilvl w:val="1"/>
          <w:numId w:val="4"/>
        </w:numPr>
      </w:pPr>
      <w:r>
        <w:t xml:space="preserve">Areas of entrapment: caudal esophageal region (130), heart base (51), cervical esophageal region (25) </w:t>
      </w:r>
    </w:p>
    <w:p w14:paraId="7D889150" w14:textId="26100302" w:rsidR="00400644" w:rsidRDefault="00400644" w:rsidP="00400644">
      <w:pPr>
        <w:pStyle w:val="ListParagraph"/>
        <w:numPr>
          <w:ilvl w:val="2"/>
          <w:numId w:val="4"/>
        </w:numPr>
      </w:pPr>
      <w:r>
        <w:t xml:space="preserve">Cervical foreign bodies 30x more likely to be pulled out by endoscopy versus those in the caudal esophagus, which were equally as likely to be pushed into the stomach or pulled out </w:t>
      </w:r>
    </w:p>
    <w:p w14:paraId="4F503D0A" w14:textId="2CD2E526" w:rsidR="00400644" w:rsidRDefault="00400644" w:rsidP="00400644">
      <w:pPr>
        <w:pStyle w:val="ListParagraph"/>
        <w:numPr>
          <w:ilvl w:val="2"/>
          <w:numId w:val="4"/>
        </w:numPr>
      </w:pPr>
      <w:r>
        <w:t>Fishhooks more likely to be lodged in the cervical esop</w:t>
      </w:r>
      <w:r w:rsidR="00721297">
        <w:t xml:space="preserve">hagus, bones more likely to be in caudal esophagus </w:t>
      </w:r>
    </w:p>
    <w:p w14:paraId="5D2F2651" w14:textId="03419E4A" w:rsidR="003E3560" w:rsidRDefault="000C2889" w:rsidP="00400644">
      <w:pPr>
        <w:pStyle w:val="ListParagraph"/>
        <w:numPr>
          <w:ilvl w:val="2"/>
          <w:numId w:val="4"/>
        </w:numPr>
      </w:pPr>
      <w:r>
        <w:t>97.8% (219) treated by endoscopy – 83.6% (183) we</w:t>
      </w:r>
      <w:r w:rsidR="00975FF1">
        <w:t>re successful</w:t>
      </w:r>
      <w:r>
        <w:t>, 36 (16.4%) were not successful</w:t>
      </w:r>
      <w:r w:rsidR="00975FF1">
        <w:t>. Consistent with previous report of ~89-91% of endoscopic FB retrievals being successful</w:t>
      </w:r>
    </w:p>
    <w:p w14:paraId="075C750E" w14:textId="7B4AB92E" w:rsidR="000C2889" w:rsidRDefault="000C2889" w:rsidP="000C2889">
      <w:pPr>
        <w:pStyle w:val="ListParagraph"/>
        <w:numPr>
          <w:ilvl w:val="3"/>
          <w:numId w:val="4"/>
        </w:numPr>
      </w:pPr>
      <w:r>
        <w:t xml:space="preserve">58% retrieved through oral cavity, 31% advanced into stomach – 80% of which were left to pass/ digest, other 20% were retrieved by gastrotomy </w:t>
      </w:r>
    </w:p>
    <w:p w14:paraId="2C7A9A93" w14:textId="7688C108" w:rsidR="00125EB2" w:rsidRDefault="00125EB2" w:rsidP="000C2889">
      <w:pPr>
        <w:pStyle w:val="ListParagraph"/>
        <w:numPr>
          <w:ilvl w:val="3"/>
          <w:numId w:val="4"/>
        </w:numPr>
      </w:pPr>
      <w:r>
        <w:t xml:space="preserve">Remaining 10.5% (23) required surgical intervention other than gastrotomy </w:t>
      </w:r>
    </w:p>
    <w:p w14:paraId="69939E71" w14:textId="77777777" w:rsidR="000E770C" w:rsidRDefault="000C2889" w:rsidP="00400644">
      <w:pPr>
        <w:pStyle w:val="ListParagraph"/>
        <w:numPr>
          <w:ilvl w:val="2"/>
          <w:numId w:val="4"/>
        </w:numPr>
      </w:pPr>
      <w:r>
        <w:t xml:space="preserve">2.2% (5) treated by surgical </w:t>
      </w:r>
      <w:r w:rsidR="00125EB2">
        <w:t xml:space="preserve">retrieval </w:t>
      </w:r>
    </w:p>
    <w:p w14:paraId="25B8E4DF" w14:textId="2063D3C8" w:rsidR="000E770C" w:rsidRDefault="000E770C" w:rsidP="00400644">
      <w:pPr>
        <w:pStyle w:val="ListParagraph"/>
        <w:numPr>
          <w:ilvl w:val="2"/>
          <w:numId w:val="4"/>
        </w:numPr>
      </w:pPr>
      <w:r>
        <w:t xml:space="preserve">18 dogs had esophageal perforation (17 </w:t>
      </w:r>
      <w:r w:rsidR="00456BEA">
        <w:t>identified</w:t>
      </w:r>
      <w:r>
        <w:t xml:space="preserve"> endoscopically, 1 occurred during removal). Type of FB not associated with </w:t>
      </w:r>
      <w:r w:rsidR="00456BEA">
        <w:t>perforation</w:t>
      </w:r>
      <w:r>
        <w:t xml:space="preserve"> </w:t>
      </w:r>
    </w:p>
    <w:p w14:paraId="18449A39" w14:textId="34B3540C" w:rsidR="000E770C" w:rsidRDefault="000E770C" w:rsidP="000E770C">
      <w:pPr>
        <w:pStyle w:val="ListParagraph"/>
        <w:numPr>
          <w:ilvl w:val="3"/>
          <w:numId w:val="4"/>
        </w:numPr>
      </w:pPr>
      <w:r>
        <w:t>3 euthanized as owners declined surgery</w:t>
      </w:r>
    </w:p>
    <w:p w14:paraId="1ADD3E7F" w14:textId="3EE98ECF" w:rsidR="000E770C" w:rsidRDefault="000E770C" w:rsidP="000E770C">
      <w:pPr>
        <w:pStyle w:val="ListParagraph"/>
        <w:numPr>
          <w:ilvl w:val="3"/>
          <w:numId w:val="4"/>
        </w:numPr>
      </w:pPr>
      <w:r>
        <w:t>5 received no surgical treatment and surv</w:t>
      </w:r>
      <w:r w:rsidR="00456BEA">
        <w:t>iv</w:t>
      </w:r>
      <w:r>
        <w:t>ed to discharge</w:t>
      </w:r>
    </w:p>
    <w:p w14:paraId="5EAC15E4" w14:textId="74796818" w:rsidR="000E770C" w:rsidRDefault="00456BEA" w:rsidP="000E770C">
      <w:pPr>
        <w:pStyle w:val="ListParagraph"/>
        <w:numPr>
          <w:ilvl w:val="3"/>
          <w:numId w:val="4"/>
        </w:numPr>
      </w:pPr>
      <w:r>
        <w:t>10 underwent s</w:t>
      </w:r>
      <w:r w:rsidR="004B382F">
        <w:t>urgical repair</w:t>
      </w:r>
      <w:r w:rsidR="000E770C">
        <w:t xml:space="preserve"> – 4 survi</w:t>
      </w:r>
      <w:r>
        <w:t>v</w:t>
      </w:r>
      <w:r w:rsidR="000E770C">
        <w:t xml:space="preserve">ed to discharge, 6 developed </w:t>
      </w:r>
      <w:r w:rsidR="004B382F">
        <w:t xml:space="preserve">a </w:t>
      </w:r>
      <w:r w:rsidR="000E770C">
        <w:t xml:space="preserve">post-procedural complication – eg. </w:t>
      </w:r>
      <w:r w:rsidR="004B382F">
        <w:t>a</w:t>
      </w:r>
      <w:r w:rsidR="000E770C">
        <w:t xml:space="preserve">spiration pneumonia, pneumothorax, 4 of which subsequently euthanized </w:t>
      </w:r>
    </w:p>
    <w:p w14:paraId="52D96962" w14:textId="2E8181E3" w:rsidR="000C2889" w:rsidRDefault="000E770C" w:rsidP="00400644">
      <w:pPr>
        <w:pStyle w:val="ListParagraph"/>
        <w:numPr>
          <w:ilvl w:val="2"/>
          <w:numId w:val="4"/>
        </w:numPr>
      </w:pPr>
      <w:r>
        <w:t>Odds of requiring surgical retrieval: associated with body weight, anorexia and foreign body type (bones</w:t>
      </w:r>
      <w:r w:rsidR="00975FF1">
        <w:t xml:space="preserve"> – although most by gastrotomy</w:t>
      </w:r>
      <w:r>
        <w:t xml:space="preserve">), esophageal perforation </w:t>
      </w:r>
      <w:r w:rsidR="000C2889">
        <w:t xml:space="preserve"> </w:t>
      </w:r>
    </w:p>
    <w:p w14:paraId="215309A9" w14:textId="58AEFDFD" w:rsidR="000E770C" w:rsidRDefault="000E770C" w:rsidP="00400644">
      <w:pPr>
        <w:pStyle w:val="ListParagraph"/>
        <w:numPr>
          <w:ilvl w:val="2"/>
          <w:numId w:val="4"/>
        </w:numPr>
      </w:pPr>
      <w:r>
        <w:t xml:space="preserve">Total 12 dogs euthanized or died – 7 related to perforation of the esophagus, 1 cardiorespiratory arrest, 1 aspiration pneumonia and </w:t>
      </w:r>
      <w:r w:rsidR="00FB0957">
        <w:t>respiratory</w:t>
      </w:r>
      <w:r>
        <w:t xml:space="preserve"> failure, 1 due to poor recovery, and 2 due to owners declining surgery </w:t>
      </w:r>
    </w:p>
    <w:p w14:paraId="47F3E213" w14:textId="0E0A56D3" w:rsidR="000E770C" w:rsidRDefault="000E770C" w:rsidP="00400644">
      <w:pPr>
        <w:pStyle w:val="ListParagraph"/>
        <w:numPr>
          <w:ilvl w:val="2"/>
          <w:numId w:val="4"/>
        </w:numPr>
      </w:pPr>
      <w:r>
        <w:t>11.2% dogs (16) developed esophageal structure – associated with food, toys or household item (not fishhooks, bones or rawhide)</w:t>
      </w:r>
    </w:p>
    <w:p w14:paraId="1BFB5C83" w14:textId="3C3FE386" w:rsidR="00ED079C" w:rsidRDefault="00ED079C" w:rsidP="00ED079C">
      <w:pPr>
        <w:pStyle w:val="ListParagraph"/>
        <w:numPr>
          <w:ilvl w:val="3"/>
          <w:numId w:val="4"/>
        </w:numPr>
      </w:pPr>
      <w:r>
        <w:t xml:space="preserve">Previous studies report 24-30% risk of stricture formation </w:t>
      </w:r>
      <w:r w:rsidR="00F10008">
        <w:t xml:space="preserve">-&gt; improvement in retrieval technique? Shorter time of obstruction? Improved post-op management? </w:t>
      </w:r>
    </w:p>
    <w:p w14:paraId="7A085C26" w14:textId="3EE4F40C" w:rsidR="00F10008" w:rsidRDefault="00F10008" w:rsidP="00F10008">
      <w:pPr>
        <w:pStyle w:val="ListParagraph"/>
        <w:numPr>
          <w:ilvl w:val="2"/>
          <w:numId w:val="4"/>
        </w:numPr>
      </w:pPr>
      <w:r>
        <w:t xml:space="preserve">Procedure duration negatively associated with long-term outcome – more difficult retrievals may have resulted in more tissue trauma and stricture or perforation? </w:t>
      </w:r>
    </w:p>
    <w:p w14:paraId="14F91E02" w14:textId="3400ED9F" w:rsidR="00333EF2" w:rsidRDefault="00333EF2" w:rsidP="00F10008">
      <w:pPr>
        <w:pStyle w:val="ListParagraph"/>
        <w:numPr>
          <w:ilvl w:val="2"/>
          <w:numId w:val="4"/>
        </w:numPr>
      </w:pPr>
      <w:r>
        <w:t>Overall mortality rate 5.4%, lower than previously reported 21-26%</w:t>
      </w:r>
    </w:p>
    <w:p w14:paraId="55DE27D8" w14:textId="3A974225" w:rsidR="00456BEA" w:rsidRDefault="00456BEA" w:rsidP="00456BEA">
      <w:pPr>
        <w:pStyle w:val="ListParagraph"/>
        <w:numPr>
          <w:ilvl w:val="1"/>
          <w:numId w:val="4"/>
        </w:numPr>
      </w:pPr>
      <w:r>
        <w:t>Conclusions</w:t>
      </w:r>
    </w:p>
    <w:p w14:paraId="46AB743E" w14:textId="57D15431" w:rsidR="00456BEA" w:rsidRDefault="00456BEA" w:rsidP="00456BEA">
      <w:pPr>
        <w:pStyle w:val="ListParagraph"/>
        <w:numPr>
          <w:ilvl w:val="2"/>
          <w:numId w:val="4"/>
        </w:numPr>
      </w:pPr>
      <w:r>
        <w:t xml:space="preserve">Endoscopy remains the most valuable initial treatment option for dogs with esophageal foreign bodies </w:t>
      </w:r>
    </w:p>
    <w:p w14:paraId="709B620B" w14:textId="140D2D9F" w:rsidR="004B382F" w:rsidRDefault="004B382F" w:rsidP="00456BEA">
      <w:pPr>
        <w:pStyle w:val="ListParagraph"/>
        <w:numPr>
          <w:ilvl w:val="2"/>
          <w:numId w:val="4"/>
        </w:numPr>
      </w:pPr>
      <w:r>
        <w:t>Esophageal perforation does not necessarily require surgical intervention</w:t>
      </w:r>
    </w:p>
    <w:p w14:paraId="589BD659" w14:textId="6D7AE6E7" w:rsidR="004B382F" w:rsidRDefault="004B382F" w:rsidP="00456BEA">
      <w:pPr>
        <w:pStyle w:val="ListParagraph"/>
        <w:numPr>
          <w:ilvl w:val="2"/>
          <w:numId w:val="4"/>
        </w:numPr>
      </w:pPr>
      <w:r>
        <w:t>Low complication rate, with strictures being most common</w:t>
      </w:r>
    </w:p>
    <w:p w14:paraId="21ABC32E" w14:textId="77777777" w:rsidR="005E1555" w:rsidRDefault="005E1555" w:rsidP="005E1555">
      <w:pPr>
        <w:tabs>
          <w:tab w:val="left" w:pos="1012"/>
        </w:tabs>
      </w:pPr>
    </w:p>
    <w:p w14:paraId="1EF90C34" w14:textId="77777777" w:rsidR="004B382F" w:rsidRDefault="004B382F" w:rsidP="005E1555">
      <w:pPr>
        <w:tabs>
          <w:tab w:val="left" w:pos="1012"/>
        </w:tabs>
      </w:pPr>
    </w:p>
    <w:p w14:paraId="308D31CE" w14:textId="52AFBFC3" w:rsidR="00617D42" w:rsidRDefault="00694261" w:rsidP="00617D42">
      <w:pPr>
        <w:tabs>
          <w:tab w:val="left" w:pos="1012"/>
        </w:tabs>
        <w:rPr>
          <w:b/>
          <w:i/>
        </w:rPr>
      </w:pPr>
      <w:r w:rsidRPr="002B53F1">
        <w:rPr>
          <w:b/>
          <w:i/>
        </w:rPr>
        <w:t>Grimes JA, Fletcher JM and Schmiedt CW. Outcomes in dogs with uroabdomen: 43 cases. JAVMA 2018; 252: 92-97.</w:t>
      </w:r>
    </w:p>
    <w:p w14:paraId="5355EA1A" w14:textId="77777777" w:rsidR="004B382F" w:rsidRPr="002B53F1" w:rsidRDefault="004B382F" w:rsidP="00617D42">
      <w:pPr>
        <w:tabs>
          <w:tab w:val="left" w:pos="1012"/>
        </w:tabs>
        <w:rPr>
          <w:b/>
          <w:i/>
        </w:rPr>
      </w:pPr>
    </w:p>
    <w:p w14:paraId="3B5C8185" w14:textId="58E7F1AD" w:rsidR="00617D42" w:rsidRDefault="00617D42" w:rsidP="00617D42">
      <w:pPr>
        <w:pStyle w:val="ListParagraph"/>
        <w:numPr>
          <w:ilvl w:val="0"/>
          <w:numId w:val="5"/>
        </w:numPr>
        <w:tabs>
          <w:tab w:val="left" w:pos="1012"/>
        </w:tabs>
      </w:pPr>
      <w:r>
        <w:t>Objective – determine the rate of factors associated with survival to hospital discharge in dogs with spontaneous uroabdomen. Hypothesized that serum creatinine concentration at admission would be predictive of non-survival</w:t>
      </w:r>
    </w:p>
    <w:p w14:paraId="584D91CA" w14:textId="4827ED41" w:rsidR="00EE5DCA" w:rsidRDefault="00EE5DCA" w:rsidP="00617D42">
      <w:pPr>
        <w:pStyle w:val="ListParagraph"/>
        <w:numPr>
          <w:ilvl w:val="0"/>
          <w:numId w:val="5"/>
        </w:numPr>
        <w:tabs>
          <w:tab w:val="left" w:pos="1012"/>
        </w:tabs>
      </w:pPr>
      <w:r>
        <w:t>Medical records from 2006-2015 from 2 hospitals (Georgia and Louisiana)</w:t>
      </w:r>
    </w:p>
    <w:p w14:paraId="5E2B8F5E" w14:textId="2187BA05" w:rsidR="00EE5DCA" w:rsidRDefault="00EE5DCA" w:rsidP="00617D42">
      <w:pPr>
        <w:pStyle w:val="ListParagraph"/>
        <w:numPr>
          <w:ilvl w:val="0"/>
          <w:numId w:val="5"/>
        </w:numPr>
        <w:tabs>
          <w:tab w:val="left" w:pos="1012"/>
        </w:tabs>
      </w:pPr>
      <w:r>
        <w:t xml:space="preserve">Uroabdomen = effusion: serum creatinine &gt;2, extravasation of contrast material from the urinary tract on imaging, or surgical identification of </w:t>
      </w:r>
      <w:r w:rsidR="004B382F">
        <w:t>disruption</w:t>
      </w:r>
      <w:r>
        <w:t xml:space="preserve"> of the urinary tract </w:t>
      </w:r>
    </w:p>
    <w:p w14:paraId="3F2C398A" w14:textId="6EF812ED" w:rsidR="00EE5DCA" w:rsidRDefault="00EE5DCA" w:rsidP="00617D42">
      <w:pPr>
        <w:pStyle w:val="ListParagraph"/>
        <w:numPr>
          <w:ilvl w:val="0"/>
          <w:numId w:val="5"/>
        </w:numPr>
        <w:tabs>
          <w:tab w:val="left" w:pos="1012"/>
        </w:tabs>
      </w:pPr>
      <w:r>
        <w:t>R</w:t>
      </w:r>
      <w:r w:rsidR="004B382F">
        <w:t>e</w:t>
      </w:r>
      <w:r>
        <w:t>sults</w:t>
      </w:r>
    </w:p>
    <w:p w14:paraId="376BABCD" w14:textId="432569A0" w:rsidR="00EE5DCA" w:rsidRDefault="00EE5DCA" w:rsidP="00EE5DCA">
      <w:pPr>
        <w:pStyle w:val="ListParagraph"/>
        <w:numPr>
          <w:ilvl w:val="1"/>
          <w:numId w:val="5"/>
        </w:numPr>
        <w:tabs>
          <w:tab w:val="left" w:pos="1012"/>
        </w:tabs>
      </w:pPr>
      <w:r>
        <w:t>43 dogs (44% intact males, 23% castrated males, 33% spayed females)</w:t>
      </w:r>
    </w:p>
    <w:p w14:paraId="3DFB0862" w14:textId="77777777" w:rsidR="004B382F" w:rsidRDefault="00EE5DCA" w:rsidP="00EE5DCA">
      <w:pPr>
        <w:pStyle w:val="ListParagraph"/>
        <w:numPr>
          <w:ilvl w:val="1"/>
          <w:numId w:val="5"/>
        </w:numPr>
        <w:tabs>
          <w:tab w:val="left" w:pos="1012"/>
        </w:tabs>
      </w:pPr>
      <w:r>
        <w:t xml:space="preserve">Location of rupture: </w:t>
      </w:r>
    </w:p>
    <w:p w14:paraId="07B1981E" w14:textId="627D5BDC" w:rsidR="00EE5DCA" w:rsidRDefault="00EE5DCA" w:rsidP="004B382F">
      <w:pPr>
        <w:pStyle w:val="ListParagraph"/>
        <w:numPr>
          <w:ilvl w:val="2"/>
          <w:numId w:val="5"/>
        </w:numPr>
        <w:tabs>
          <w:tab w:val="left" w:pos="1012"/>
        </w:tabs>
      </w:pPr>
      <w:r>
        <w:t>urinary bladder 56%, urethra 26%, undetermined 9%, both urinary bladder and kidney 2%</w:t>
      </w:r>
    </w:p>
    <w:p w14:paraId="7E39F2F7" w14:textId="77777777" w:rsidR="004B382F" w:rsidRDefault="00EE5DCA" w:rsidP="00EE5DCA">
      <w:pPr>
        <w:pStyle w:val="ListParagraph"/>
        <w:numPr>
          <w:ilvl w:val="1"/>
          <w:numId w:val="5"/>
        </w:numPr>
        <w:tabs>
          <w:tab w:val="left" w:pos="1012"/>
        </w:tabs>
      </w:pPr>
      <w:r>
        <w:t xml:space="preserve">Causes of rupture: </w:t>
      </w:r>
    </w:p>
    <w:p w14:paraId="0D51F7D8" w14:textId="102AEB17" w:rsidR="00EE5DCA" w:rsidRDefault="00EE5DCA" w:rsidP="004B382F">
      <w:pPr>
        <w:pStyle w:val="ListParagraph"/>
        <w:numPr>
          <w:ilvl w:val="2"/>
          <w:numId w:val="5"/>
        </w:numPr>
        <w:tabs>
          <w:tab w:val="left" w:pos="1012"/>
        </w:tabs>
      </w:pPr>
      <w:r>
        <w:t>trauma 47%, obstruction 21%, iatrogenic 16%, unknown 16%</w:t>
      </w:r>
    </w:p>
    <w:p w14:paraId="15FBC9F3" w14:textId="48A97DB2" w:rsidR="00EE5DCA" w:rsidRDefault="00EE5DCA" w:rsidP="00EE5DCA">
      <w:pPr>
        <w:pStyle w:val="ListParagraph"/>
        <w:numPr>
          <w:ilvl w:val="1"/>
          <w:numId w:val="5"/>
        </w:numPr>
        <w:tabs>
          <w:tab w:val="left" w:pos="1012"/>
        </w:tabs>
      </w:pPr>
      <w:r>
        <w:t>86% of dogs managed surgically: 92% (34) had defect corrected, 8% (3) had no identifiable urinary defect -&gt; one of which was successfully treated by urinary catheter, one died, one euthanized</w:t>
      </w:r>
    </w:p>
    <w:p w14:paraId="11DC39FE" w14:textId="0B12F88E" w:rsidR="00EE5DCA" w:rsidRDefault="00EE5DCA" w:rsidP="006B458C">
      <w:pPr>
        <w:pStyle w:val="ListParagraph"/>
        <w:numPr>
          <w:ilvl w:val="2"/>
          <w:numId w:val="5"/>
        </w:numPr>
        <w:tabs>
          <w:tab w:val="left" w:pos="1012"/>
        </w:tabs>
      </w:pPr>
      <w:r>
        <w:t xml:space="preserve">Post-op complications: death (3), regurgitation (3), </w:t>
      </w:r>
      <w:r w:rsidR="004B382F">
        <w:t>persistent</w:t>
      </w:r>
      <w:r>
        <w:t xml:space="preserve"> leakage of urine (2), aspiration pneumonia (1), DIC (1), incisional infection leading to septic peritonitis (1), urinary incontinence (1), anemia requiring transfusion (1)</w:t>
      </w:r>
    </w:p>
    <w:p w14:paraId="5EB05BDE" w14:textId="4009DAEB" w:rsidR="00BA35D8" w:rsidRDefault="00BA35D8" w:rsidP="006B458C">
      <w:pPr>
        <w:pStyle w:val="ListParagraph"/>
        <w:numPr>
          <w:ilvl w:val="2"/>
          <w:numId w:val="5"/>
        </w:numPr>
        <w:tabs>
          <w:tab w:val="left" w:pos="1012"/>
        </w:tabs>
      </w:pPr>
      <w:r>
        <w:t xml:space="preserve">33 cases had information available regarding post-op management </w:t>
      </w:r>
    </w:p>
    <w:p w14:paraId="6B0F14E5" w14:textId="7F720532" w:rsidR="00397F6A" w:rsidRDefault="00397F6A" w:rsidP="006B458C">
      <w:pPr>
        <w:pStyle w:val="ListParagraph"/>
        <w:numPr>
          <w:ilvl w:val="4"/>
          <w:numId w:val="5"/>
        </w:numPr>
        <w:tabs>
          <w:tab w:val="left" w:pos="1012"/>
        </w:tabs>
      </w:pPr>
      <w:r>
        <w:t xml:space="preserve">U-cath placed in 58% (19) cases, </w:t>
      </w:r>
      <w:r w:rsidR="002828BC">
        <w:t>median</w:t>
      </w:r>
      <w:r>
        <w:t xml:space="preserve"> of 4 days (range 1-13)</w:t>
      </w:r>
    </w:p>
    <w:p w14:paraId="1FDA7A0D" w14:textId="730512E9" w:rsidR="00397F6A" w:rsidRDefault="00397F6A" w:rsidP="006B458C">
      <w:pPr>
        <w:pStyle w:val="ListParagraph"/>
        <w:numPr>
          <w:ilvl w:val="4"/>
          <w:numId w:val="5"/>
        </w:numPr>
        <w:tabs>
          <w:tab w:val="left" w:pos="1012"/>
        </w:tabs>
      </w:pPr>
      <w:r>
        <w:t>16/19 survived to discharge</w:t>
      </w:r>
    </w:p>
    <w:p w14:paraId="3CA18A28" w14:textId="464819CE" w:rsidR="00397F6A" w:rsidRDefault="00397F6A" w:rsidP="006B458C">
      <w:pPr>
        <w:pStyle w:val="ListParagraph"/>
        <w:numPr>
          <w:ilvl w:val="3"/>
          <w:numId w:val="5"/>
        </w:numPr>
        <w:tabs>
          <w:tab w:val="left" w:pos="1012"/>
        </w:tabs>
      </w:pPr>
      <w:r>
        <w:t xml:space="preserve">Cystotomy tube placed in 12% (4) cases </w:t>
      </w:r>
      <w:r w:rsidR="008A65FB">
        <w:t>-&gt; 2 due to unresolvable urethral obstruction, 1 as a means of post-op management, and 1 as a component of stabilization prior to surgery</w:t>
      </w:r>
    </w:p>
    <w:p w14:paraId="24B35AD9" w14:textId="1574F832" w:rsidR="00397F6A" w:rsidRDefault="00397F6A" w:rsidP="006B458C">
      <w:pPr>
        <w:pStyle w:val="ListParagraph"/>
        <w:numPr>
          <w:ilvl w:val="3"/>
          <w:numId w:val="5"/>
        </w:numPr>
        <w:tabs>
          <w:tab w:val="left" w:pos="1012"/>
        </w:tabs>
      </w:pPr>
      <w:r>
        <w:t>Remaining 10 had no means of urinary diversion post-op</w:t>
      </w:r>
    </w:p>
    <w:p w14:paraId="2E7615D1" w14:textId="08B689F7" w:rsidR="00397F6A" w:rsidRDefault="00F74E03" w:rsidP="006B458C">
      <w:pPr>
        <w:pStyle w:val="ListParagraph"/>
        <w:numPr>
          <w:ilvl w:val="2"/>
          <w:numId w:val="5"/>
        </w:numPr>
        <w:tabs>
          <w:tab w:val="left" w:pos="1012"/>
        </w:tabs>
      </w:pPr>
      <w:r>
        <w:t>2 dogs had a septic abdomen pre-op</w:t>
      </w:r>
    </w:p>
    <w:p w14:paraId="5A3683C0" w14:textId="49E4D28E" w:rsidR="006B458C" w:rsidRDefault="006B458C" w:rsidP="006B458C">
      <w:pPr>
        <w:pStyle w:val="ListParagraph"/>
        <w:numPr>
          <w:ilvl w:val="1"/>
          <w:numId w:val="5"/>
        </w:numPr>
        <w:tabs>
          <w:tab w:val="left" w:pos="1012"/>
        </w:tabs>
      </w:pPr>
      <w:r>
        <w:t xml:space="preserve">14% (6) treated with medical management only – 5 with indwelling u-cath and 1 with urethral stent for urethral neoplasia </w:t>
      </w:r>
    </w:p>
    <w:p w14:paraId="4592CDBB" w14:textId="56778DB9" w:rsidR="000F4FC0" w:rsidRDefault="000F4FC0" w:rsidP="000F4FC0">
      <w:pPr>
        <w:pStyle w:val="ListParagraph"/>
        <w:numPr>
          <w:ilvl w:val="2"/>
          <w:numId w:val="5"/>
        </w:numPr>
        <w:tabs>
          <w:tab w:val="left" w:pos="1012"/>
        </w:tabs>
      </w:pPr>
      <w:r>
        <w:t xml:space="preserve">4 dogs survived with discharge with u-caths in </w:t>
      </w:r>
      <w:r w:rsidR="00681B37">
        <w:t>place</w:t>
      </w:r>
      <w:r>
        <w:t xml:space="preserve"> for 3-5 days (one developed uroabdomen 3 days later, and had u-cath replaced for another 8 days)</w:t>
      </w:r>
    </w:p>
    <w:p w14:paraId="6257ADFC" w14:textId="6C13F4B7" w:rsidR="000F114D" w:rsidRDefault="002509B6" w:rsidP="000F114D">
      <w:pPr>
        <w:pStyle w:val="ListParagraph"/>
        <w:numPr>
          <w:ilvl w:val="2"/>
          <w:numId w:val="5"/>
        </w:numPr>
        <w:tabs>
          <w:tab w:val="left" w:pos="1012"/>
        </w:tabs>
      </w:pPr>
      <w:r>
        <w:sym w:font="Wingdings" w:char="F0E0"/>
      </w:r>
      <w:r>
        <w:t xml:space="preserve"> less time than reported tim</w:t>
      </w:r>
      <w:r w:rsidR="00681B37">
        <w:t>e for regrowth of</w:t>
      </w:r>
      <w:r>
        <w:t xml:space="preserve"> urinary epithelium (7 days)</w:t>
      </w:r>
    </w:p>
    <w:p w14:paraId="7DAE21A0" w14:textId="549FFCAD" w:rsidR="000F4FC0" w:rsidRDefault="000F4FC0" w:rsidP="000F4FC0">
      <w:pPr>
        <w:pStyle w:val="ListParagraph"/>
        <w:numPr>
          <w:ilvl w:val="1"/>
          <w:numId w:val="5"/>
        </w:numPr>
        <w:tabs>
          <w:tab w:val="left" w:pos="1012"/>
        </w:tabs>
      </w:pPr>
      <w:r>
        <w:t>Overall survival 79% (39)</w:t>
      </w:r>
      <w:r w:rsidR="002828BC">
        <w:t xml:space="preserve"> = mortality rate 21% </w:t>
      </w:r>
      <w:r w:rsidR="002828BC">
        <w:sym w:font="Wingdings" w:char="F0E0"/>
      </w:r>
      <w:r w:rsidR="002828BC">
        <w:t xml:space="preserve"> similar to previous reports</w:t>
      </w:r>
      <w:r w:rsidR="00681B37">
        <w:t xml:space="preserve"> </w:t>
      </w:r>
      <w:bookmarkStart w:id="0" w:name="_GoBack"/>
      <w:bookmarkEnd w:id="0"/>
      <w:r w:rsidR="002828BC">
        <w:t>of 27% survival with uroabdomen in cats, or 22-25% in cats/ dogs with urethral rupture</w:t>
      </w:r>
    </w:p>
    <w:p w14:paraId="4F99849C" w14:textId="156B11DD" w:rsidR="000F4FC0" w:rsidRDefault="000F4FC0" w:rsidP="000F4FC0">
      <w:pPr>
        <w:pStyle w:val="ListParagraph"/>
        <w:numPr>
          <w:ilvl w:val="2"/>
          <w:numId w:val="5"/>
        </w:numPr>
        <w:tabs>
          <w:tab w:val="left" w:pos="1012"/>
        </w:tabs>
      </w:pPr>
      <w:r>
        <w:t>No significant difference in survival between bladder rupture or urethra rupture</w:t>
      </w:r>
      <w:r w:rsidR="00681B37">
        <w:t xml:space="preserve"> or cause of ru</w:t>
      </w:r>
      <w:r>
        <w:t xml:space="preserve">pture </w:t>
      </w:r>
    </w:p>
    <w:p w14:paraId="2ADC3E03" w14:textId="1D0B2DC1" w:rsidR="000F4FC0" w:rsidRDefault="000F4FC0" w:rsidP="000F4FC0">
      <w:pPr>
        <w:pStyle w:val="ListParagraph"/>
        <w:numPr>
          <w:ilvl w:val="2"/>
          <w:numId w:val="5"/>
        </w:numPr>
        <w:tabs>
          <w:tab w:val="left" w:pos="1012"/>
        </w:tabs>
      </w:pPr>
      <w:r>
        <w:t xml:space="preserve">No significant difference in serum creatinine or BUN and survival </w:t>
      </w:r>
    </w:p>
    <w:p w14:paraId="75A14BD1" w14:textId="77777777" w:rsidR="000F4FC0" w:rsidRPr="005E1555" w:rsidRDefault="000F4FC0" w:rsidP="000F4FC0">
      <w:pPr>
        <w:pStyle w:val="ListParagraph"/>
        <w:numPr>
          <w:ilvl w:val="2"/>
          <w:numId w:val="5"/>
        </w:numPr>
        <w:tabs>
          <w:tab w:val="left" w:pos="1012"/>
        </w:tabs>
      </w:pPr>
      <w:r>
        <w:t xml:space="preserve">78% of surgical management and 83% of medical management survived – no statistical difference </w:t>
      </w:r>
    </w:p>
    <w:p w14:paraId="68F1BDCC" w14:textId="667EA962" w:rsidR="000F4FC0" w:rsidRDefault="002828BC" w:rsidP="000F4FC0">
      <w:pPr>
        <w:pStyle w:val="ListParagraph"/>
        <w:numPr>
          <w:ilvl w:val="2"/>
          <w:numId w:val="5"/>
        </w:numPr>
        <w:tabs>
          <w:tab w:val="left" w:pos="1012"/>
        </w:tabs>
      </w:pPr>
      <w:r>
        <w:t>Surgically managed dogs with intra-operative or post-operative complications were less likely to survive</w:t>
      </w:r>
    </w:p>
    <w:p w14:paraId="23785474" w14:textId="77777777" w:rsidR="00FC4934" w:rsidRDefault="00FC4934" w:rsidP="000D4ECA">
      <w:pPr>
        <w:pStyle w:val="ListParagraph"/>
        <w:numPr>
          <w:ilvl w:val="1"/>
          <w:numId w:val="5"/>
        </w:numPr>
        <w:tabs>
          <w:tab w:val="left" w:pos="1012"/>
        </w:tabs>
      </w:pPr>
      <w:r>
        <w:t>Conclusions</w:t>
      </w:r>
    </w:p>
    <w:p w14:paraId="4A2F173B" w14:textId="77777777" w:rsidR="00FC4934" w:rsidRDefault="00FC4934" w:rsidP="00FC4934">
      <w:pPr>
        <w:pStyle w:val="ListParagraph"/>
        <w:numPr>
          <w:ilvl w:val="2"/>
          <w:numId w:val="5"/>
        </w:numPr>
        <w:tabs>
          <w:tab w:val="left" w:pos="1012"/>
        </w:tabs>
      </w:pPr>
      <w:r>
        <w:t>No specific pre-operative risk factors identified, including biochemical parameters</w:t>
      </w:r>
    </w:p>
    <w:p w14:paraId="2847CB1F" w14:textId="65482B38" w:rsidR="00FC4934" w:rsidRDefault="00FC4934" w:rsidP="00FC4934">
      <w:pPr>
        <w:pStyle w:val="ListParagraph"/>
        <w:numPr>
          <w:ilvl w:val="2"/>
          <w:numId w:val="5"/>
        </w:numPr>
        <w:tabs>
          <w:tab w:val="left" w:pos="1012"/>
        </w:tabs>
      </w:pPr>
      <w:r>
        <w:t>Overall good survival rate</w:t>
      </w:r>
    </w:p>
    <w:p w14:paraId="6B2840DF" w14:textId="4F8E7C6A" w:rsidR="000D4ECA" w:rsidRPr="005E1555" w:rsidRDefault="00FC4934" w:rsidP="00FC4934">
      <w:pPr>
        <w:pStyle w:val="ListParagraph"/>
        <w:numPr>
          <w:ilvl w:val="2"/>
          <w:numId w:val="5"/>
        </w:numPr>
        <w:tabs>
          <w:tab w:val="left" w:pos="1012"/>
        </w:tabs>
      </w:pPr>
      <w:r>
        <w:t>Is</w:t>
      </w:r>
      <w:r w:rsidR="000D4ECA">
        <w:t xml:space="preserve"> drainage of the abdomen </w:t>
      </w:r>
      <w:r w:rsidR="000F114D">
        <w:t xml:space="preserve">important component of stabilization? 7/16 had peritoneal catheter placed pre-op at one hospital, 0/21 at other hospital – but not statistically significant with survival </w:t>
      </w:r>
    </w:p>
    <w:sectPr w:rsidR="000D4ECA" w:rsidRPr="005E1555" w:rsidSect="00133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0678"/>
    <w:multiLevelType w:val="hybridMultilevel"/>
    <w:tmpl w:val="940E6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8E53C6"/>
    <w:multiLevelType w:val="hybridMultilevel"/>
    <w:tmpl w:val="9DA8AE20"/>
    <w:lvl w:ilvl="0" w:tplc="29EA81A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BE04E1"/>
    <w:multiLevelType w:val="hybridMultilevel"/>
    <w:tmpl w:val="CCBAA384"/>
    <w:lvl w:ilvl="0" w:tplc="BD202C5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1C4861"/>
    <w:multiLevelType w:val="hybridMultilevel"/>
    <w:tmpl w:val="E0025902"/>
    <w:lvl w:ilvl="0" w:tplc="0409000F">
      <w:start w:val="1"/>
      <w:numFmt w:val="decimal"/>
      <w:lvlText w:val="%1."/>
      <w:lvlJc w:val="left"/>
      <w:pPr>
        <w:ind w:left="777" w:hanging="360"/>
      </w:pPr>
    </w:lvl>
    <w:lvl w:ilvl="1" w:tplc="04090019">
      <w:start w:val="1"/>
      <w:numFmt w:val="lowerLetter"/>
      <w:lvlText w:val="%2."/>
      <w:lvlJc w:val="left"/>
      <w:pPr>
        <w:ind w:left="1497" w:hanging="360"/>
      </w:pPr>
    </w:lvl>
    <w:lvl w:ilvl="2" w:tplc="0409001B">
      <w:start w:val="1"/>
      <w:numFmt w:val="lowerRoman"/>
      <w:lvlText w:val="%3."/>
      <w:lvlJc w:val="right"/>
      <w:pPr>
        <w:ind w:left="2217" w:hanging="180"/>
      </w:pPr>
    </w:lvl>
    <w:lvl w:ilvl="3" w:tplc="0409000F">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
    <w:nsid w:val="66E07694"/>
    <w:multiLevelType w:val="hybridMultilevel"/>
    <w:tmpl w:val="D4DC7C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55"/>
    <w:rsid w:val="00047C6F"/>
    <w:rsid w:val="000B411D"/>
    <w:rsid w:val="000C0547"/>
    <w:rsid w:val="000C2889"/>
    <w:rsid w:val="000D4ECA"/>
    <w:rsid w:val="000E770C"/>
    <w:rsid w:val="000F114D"/>
    <w:rsid w:val="000F4FC0"/>
    <w:rsid w:val="00125EB2"/>
    <w:rsid w:val="00133BD1"/>
    <w:rsid w:val="00144A5B"/>
    <w:rsid w:val="00162125"/>
    <w:rsid w:val="001B3B27"/>
    <w:rsid w:val="001E75EE"/>
    <w:rsid w:val="00212FA0"/>
    <w:rsid w:val="002205C9"/>
    <w:rsid w:val="0022400A"/>
    <w:rsid w:val="002509B6"/>
    <w:rsid w:val="002828BC"/>
    <w:rsid w:val="002B53F1"/>
    <w:rsid w:val="00333EF2"/>
    <w:rsid w:val="00356A20"/>
    <w:rsid w:val="00367EE4"/>
    <w:rsid w:val="00397F6A"/>
    <w:rsid w:val="003D610F"/>
    <w:rsid w:val="003E3560"/>
    <w:rsid w:val="00400644"/>
    <w:rsid w:val="00417657"/>
    <w:rsid w:val="00441DCB"/>
    <w:rsid w:val="00456BEA"/>
    <w:rsid w:val="004B382F"/>
    <w:rsid w:val="005C3C38"/>
    <w:rsid w:val="005E1555"/>
    <w:rsid w:val="005E3E23"/>
    <w:rsid w:val="00617D42"/>
    <w:rsid w:val="00681B37"/>
    <w:rsid w:val="00694261"/>
    <w:rsid w:val="006B458C"/>
    <w:rsid w:val="006C27A9"/>
    <w:rsid w:val="006C5AE8"/>
    <w:rsid w:val="006D7A2F"/>
    <w:rsid w:val="00721297"/>
    <w:rsid w:val="007B62EA"/>
    <w:rsid w:val="007F5AC1"/>
    <w:rsid w:val="0080718C"/>
    <w:rsid w:val="00894B11"/>
    <w:rsid w:val="008A65FB"/>
    <w:rsid w:val="009147BC"/>
    <w:rsid w:val="00975FF1"/>
    <w:rsid w:val="00A560AC"/>
    <w:rsid w:val="00B367CA"/>
    <w:rsid w:val="00B93A3A"/>
    <w:rsid w:val="00BA35D8"/>
    <w:rsid w:val="00BD3DF4"/>
    <w:rsid w:val="00C17D7D"/>
    <w:rsid w:val="00CA3213"/>
    <w:rsid w:val="00D82C89"/>
    <w:rsid w:val="00DC5215"/>
    <w:rsid w:val="00DD0FFC"/>
    <w:rsid w:val="00E70360"/>
    <w:rsid w:val="00EA7B97"/>
    <w:rsid w:val="00ED079C"/>
    <w:rsid w:val="00EE5DCA"/>
    <w:rsid w:val="00F10008"/>
    <w:rsid w:val="00F56CDA"/>
    <w:rsid w:val="00F74E03"/>
    <w:rsid w:val="00FB0957"/>
    <w:rsid w:val="00FC4934"/>
    <w:rsid w:val="00FE51B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A0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5</Pages>
  <Words>1587</Words>
  <Characters>9050</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Coady</dc:creator>
  <cp:keywords/>
  <dc:description/>
  <cp:lastModifiedBy>Michelle Coady</cp:lastModifiedBy>
  <cp:revision>4</cp:revision>
  <dcterms:created xsi:type="dcterms:W3CDTF">2018-01-27T22:49:00Z</dcterms:created>
  <dcterms:modified xsi:type="dcterms:W3CDTF">2018-02-01T20:07:00Z</dcterms:modified>
</cp:coreProperties>
</file>