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46347" w14:textId="77777777" w:rsidR="00D12394" w:rsidRPr="00FD391C" w:rsidRDefault="007F4ED9" w:rsidP="007A7B0B">
      <w:pPr>
        <w:jc w:val="center"/>
        <w:outlineLvl w:val="0"/>
        <w:rPr>
          <w:sz w:val="28"/>
          <w:szCs w:val="28"/>
          <w:u w:val="single"/>
          <w:lang w:val="en-AU"/>
        </w:rPr>
      </w:pPr>
      <w:bookmarkStart w:id="0" w:name="_GoBack"/>
      <w:bookmarkEnd w:id="0"/>
      <w:r w:rsidRPr="00FD391C">
        <w:rPr>
          <w:sz w:val="28"/>
          <w:szCs w:val="28"/>
          <w:u w:val="single"/>
          <w:lang w:val="en-AU"/>
        </w:rPr>
        <w:t>CCM Lit Review Nov 2017</w:t>
      </w:r>
    </w:p>
    <w:p w14:paraId="0581795B" w14:textId="77777777" w:rsidR="007F4ED9" w:rsidRDefault="007F4ED9" w:rsidP="007F4ED9">
      <w:pPr>
        <w:jc w:val="center"/>
        <w:rPr>
          <w:lang w:val="en-AU"/>
        </w:rPr>
      </w:pPr>
    </w:p>
    <w:p w14:paraId="53195460" w14:textId="42E8992A" w:rsidR="007F4ED9" w:rsidRPr="004775EE" w:rsidRDefault="007F4ED9" w:rsidP="007F4ED9">
      <w:pPr>
        <w:rPr>
          <w:b/>
          <w:lang w:val="en-AU"/>
        </w:rPr>
      </w:pPr>
      <w:r w:rsidRPr="004775EE">
        <w:rPr>
          <w:b/>
          <w:lang w:val="en-AU"/>
        </w:rPr>
        <w:t>With</w:t>
      </w:r>
      <w:r w:rsidR="006C3A0C" w:rsidRPr="004775EE">
        <w:rPr>
          <w:b/>
          <w:lang w:val="en-AU"/>
        </w:rPr>
        <w:t>h</w:t>
      </w:r>
      <w:r w:rsidRPr="004775EE">
        <w:rPr>
          <w:b/>
          <w:lang w:val="en-AU"/>
        </w:rPr>
        <w:t xml:space="preserve">olding Pantoprazole for Stress Ulcer Prophylaxis in Critically Ill </w:t>
      </w:r>
      <w:r w:rsidR="006C3A0C" w:rsidRPr="004775EE">
        <w:rPr>
          <w:b/>
          <w:lang w:val="en-AU"/>
        </w:rPr>
        <w:t>Patients</w:t>
      </w:r>
      <w:r w:rsidRPr="004775EE">
        <w:rPr>
          <w:b/>
          <w:lang w:val="en-AU"/>
        </w:rPr>
        <w:t>: A Pilot Randomized Clinical Trial and Meta-Analysis (Re</w:t>
      </w:r>
      <w:r w:rsidR="006C3A0C" w:rsidRPr="004775EE">
        <w:rPr>
          <w:b/>
          <w:lang w:val="en-AU"/>
        </w:rPr>
        <w:t>-</w:t>
      </w:r>
      <w:r w:rsidRPr="004775EE">
        <w:rPr>
          <w:b/>
          <w:lang w:val="en-AU"/>
        </w:rPr>
        <w:t>evaluating the Inhibition of Stress Erosions (REVISE))</w:t>
      </w:r>
    </w:p>
    <w:p w14:paraId="0DC6C92F" w14:textId="77777777" w:rsidR="007F4ED9" w:rsidRDefault="007F4ED9" w:rsidP="007F4ED9">
      <w:pPr>
        <w:rPr>
          <w:lang w:val="en-AU"/>
        </w:rPr>
      </w:pPr>
    </w:p>
    <w:p w14:paraId="1E20CF8A" w14:textId="77777777" w:rsidR="007F4ED9" w:rsidRDefault="007F4ED9" w:rsidP="007F4ED9">
      <w:pPr>
        <w:rPr>
          <w:lang w:val="en-AU"/>
        </w:rPr>
      </w:pPr>
      <w:r>
        <w:rPr>
          <w:lang w:val="en-AU"/>
        </w:rPr>
        <w:t>Background:</w:t>
      </w:r>
    </w:p>
    <w:p w14:paraId="6BC6B533" w14:textId="77777777" w:rsidR="007F4ED9" w:rsidRDefault="007F4ED9" w:rsidP="007F4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PPIs are associated with risk of C Dfficile infection (3.4 vs 2.6%) and pneumonia (34 vs 30%) in critically ill patients based on low quality evidence </w:t>
      </w:r>
    </w:p>
    <w:p w14:paraId="41225E16" w14:textId="77777777" w:rsidR="007F4ED9" w:rsidRDefault="007F4ED9" w:rsidP="007F4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Upper GI bleeding rare in ICUs so is routine SUP indicated? </w:t>
      </w:r>
    </w:p>
    <w:p w14:paraId="5E8055DF" w14:textId="77777777" w:rsidR="007F4ED9" w:rsidRDefault="007F4ED9" w:rsidP="007F4ED9">
      <w:pPr>
        <w:rPr>
          <w:lang w:val="en-AU"/>
        </w:rPr>
      </w:pPr>
    </w:p>
    <w:p w14:paraId="7C6B2AB8" w14:textId="77777777" w:rsidR="007F4ED9" w:rsidRPr="007F4ED9" w:rsidRDefault="007F4ED9" w:rsidP="007F4ED9">
      <w:pPr>
        <w:rPr>
          <w:lang w:val="en-AU"/>
        </w:rPr>
      </w:pPr>
      <w:r>
        <w:rPr>
          <w:lang w:val="en-AU"/>
        </w:rPr>
        <w:t>Study:</w:t>
      </w:r>
    </w:p>
    <w:p w14:paraId="3652C576" w14:textId="77777777" w:rsidR="007F4ED9" w:rsidRDefault="007F4ED9" w:rsidP="007F4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91 Mechanically ventilated patients either received pantoprazole or placebo</w:t>
      </w:r>
    </w:p>
    <w:p w14:paraId="206E1A02" w14:textId="77777777" w:rsidR="007F4ED9" w:rsidRDefault="007F4ED9" w:rsidP="007F4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Upper GI bleeding not different between groups</w:t>
      </w:r>
      <w:r w:rsidR="009634F3">
        <w:rPr>
          <w:lang w:val="en-AU"/>
        </w:rPr>
        <w:t xml:space="preserve"> (6.1% pantoprazole, 4.8% placebo)</w:t>
      </w:r>
    </w:p>
    <w:p w14:paraId="3AE885E9" w14:textId="77777777" w:rsidR="007F4ED9" w:rsidRDefault="007F4ED9" w:rsidP="007F4ED9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VAP 20% pantoprazole 14% placebo (not significant)</w:t>
      </w:r>
    </w:p>
    <w:p w14:paraId="0566048E" w14:textId="77777777" w:rsidR="007F4ED9" w:rsidRDefault="007F4ED9" w:rsidP="007F4ED9">
      <w:pPr>
        <w:rPr>
          <w:lang w:val="en-AU"/>
        </w:rPr>
      </w:pPr>
    </w:p>
    <w:p w14:paraId="35C964F3" w14:textId="7048B440" w:rsidR="009634F3" w:rsidRDefault="007F4ED9" w:rsidP="007A7B0B">
      <w:pPr>
        <w:outlineLvl w:val="0"/>
        <w:rPr>
          <w:lang w:val="en-AU"/>
        </w:rPr>
      </w:pPr>
      <w:r w:rsidRPr="009634F3">
        <w:rPr>
          <w:lang w:val="en-AU"/>
        </w:rPr>
        <w:t>Meta</w:t>
      </w:r>
      <w:r w:rsidR="006C3A0C">
        <w:rPr>
          <w:lang w:val="en-AU"/>
        </w:rPr>
        <w:t>-a</w:t>
      </w:r>
      <w:r w:rsidRPr="009634F3">
        <w:rPr>
          <w:lang w:val="en-AU"/>
        </w:rPr>
        <w:t xml:space="preserve">nalysis </w:t>
      </w:r>
    </w:p>
    <w:p w14:paraId="0A327BF2" w14:textId="77777777" w:rsidR="007F4ED9" w:rsidRPr="009634F3" w:rsidRDefault="007F4ED9" w:rsidP="009634F3">
      <w:pPr>
        <w:pStyle w:val="ListParagraph"/>
        <w:numPr>
          <w:ilvl w:val="0"/>
          <w:numId w:val="1"/>
        </w:numPr>
        <w:rPr>
          <w:lang w:val="en-AU"/>
        </w:rPr>
      </w:pPr>
      <w:r w:rsidRPr="009634F3">
        <w:rPr>
          <w:lang w:val="en-AU"/>
        </w:rPr>
        <w:t xml:space="preserve">(5 small RCTs) showed no difference in risk of GI Bleeding, infection or mortality </w:t>
      </w:r>
    </w:p>
    <w:p w14:paraId="4DC9B932" w14:textId="741342E6" w:rsidR="007F4ED9" w:rsidRDefault="00FC4210" w:rsidP="007F4ED9">
      <w:pPr>
        <w:rPr>
          <w:lang w:val="en-AU"/>
        </w:rPr>
      </w:pPr>
      <w:r w:rsidRPr="00FC4210">
        <w:rPr>
          <w:noProof/>
        </w:rPr>
        <w:drawing>
          <wp:inline distT="0" distB="0" distL="0" distR="0" wp14:anchorId="21FA5F2D" wp14:editId="024BE8C7">
            <wp:extent cx="5727700" cy="1825625"/>
            <wp:effectExtent l="0" t="0" r="1270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29B8A" w14:textId="77777777" w:rsidR="009634F3" w:rsidRDefault="009634F3" w:rsidP="007F4ED9">
      <w:pPr>
        <w:rPr>
          <w:lang w:val="en-AU"/>
        </w:rPr>
      </w:pPr>
    </w:p>
    <w:p w14:paraId="00A5D7F3" w14:textId="43AA5881" w:rsidR="009634F3" w:rsidRDefault="00FC4210" w:rsidP="007F4ED9">
      <w:pPr>
        <w:rPr>
          <w:lang w:val="en-AU"/>
        </w:rPr>
      </w:pPr>
      <w:r w:rsidRPr="00FC4210">
        <w:rPr>
          <w:noProof/>
        </w:rPr>
        <w:drawing>
          <wp:inline distT="0" distB="0" distL="0" distR="0" wp14:anchorId="7912389B" wp14:editId="74A7CEBB">
            <wp:extent cx="5727700" cy="1771650"/>
            <wp:effectExtent l="0" t="0" r="1270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A3E72" w14:textId="77777777" w:rsidR="009634F3" w:rsidRPr="007F4ED9" w:rsidRDefault="009634F3" w:rsidP="007F4ED9">
      <w:pPr>
        <w:rPr>
          <w:lang w:val="en-AU"/>
        </w:rPr>
      </w:pPr>
    </w:p>
    <w:p w14:paraId="221A8BF6" w14:textId="77777777" w:rsidR="009634F3" w:rsidRDefault="009634F3" w:rsidP="007A7B0B">
      <w:pPr>
        <w:outlineLvl w:val="0"/>
        <w:rPr>
          <w:lang w:val="en-AU"/>
        </w:rPr>
      </w:pPr>
      <w:r w:rsidRPr="009634F3">
        <w:rPr>
          <w:lang w:val="en-AU"/>
        </w:rPr>
        <w:t>Conclusi</w:t>
      </w:r>
      <w:r w:rsidR="007F4ED9" w:rsidRPr="009634F3">
        <w:rPr>
          <w:lang w:val="en-AU"/>
        </w:rPr>
        <w:t xml:space="preserve">on </w:t>
      </w:r>
    </w:p>
    <w:p w14:paraId="6F7814A3" w14:textId="36A718DD" w:rsidR="007F4ED9" w:rsidRDefault="009634F3" w:rsidP="009634F3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N</w:t>
      </w:r>
      <w:r w:rsidR="007F4ED9" w:rsidRPr="009634F3">
        <w:rPr>
          <w:lang w:val="en-AU"/>
        </w:rPr>
        <w:t xml:space="preserve">o alarming difference in frequency of ulceration so larger clinical tirial </w:t>
      </w:r>
      <w:r w:rsidR="00563132">
        <w:rPr>
          <w:lang w:val="en-AU"/>
        </w:rPr>
        <w:t>feasible</w:t>
      </w:r>
    </w:p>
    <w:p w14:paraId="0035F731" w14:textId="77777777" w:rsidR="00563132" w:rsidRDefault="00563132" w:rsidP="00563132">
      <w:pPr>
        <w:rPr>
          <w:lang w:val="en-AU"/>
        </w:rPr>
      </w:pPr>
    </w:p>
    <w:p w14:paraId="2B6F43C5" w14:textId="77777777" w:rsidR="00FD391C" w:rsidRDefault="00FD391C" w:rsidP="00563132">
      <w:pPr>
        <w:rPr>
          <w:b/>
          <w:lang w:val="en-AU"/>
        </w:rPr>
      </w:pPr>
    </w:p>
    <w:p w14:paraId="6687A03A" w14:textId="77777777" w:rsidR="00FD391C" w:rsidRDefault="00FD391C" w:rsidP="00563132">
      <w:pPr>
        <w:rPr>
          <w:b/>
          <w:lang w:val="en-AU"/>
        </w:rPr>
      </w:pPr>
    </w:p>
    <w:p w14:paraId="7C1AABBB" w14:textId="77777777" w:rsidR="00FD391C" w:rsidRDefault="00FD391C" w:rsidP="00563132">
      <w:pPr>
        <w:rPr>
          <w:b/>
          <w:lang w:val="en-AU"/>
        </w:rPr>
      </w:pPr>
    </w:p>
    <w:p w14:paraId="263B1CE5" w14:textId="77777777" w:rsidR="00FD391C" w:rsidRDefault="00FD391C" w:rsidP="00563132">
      <w:pPr>
        <w:rPr>
          <w:b/>
          <w:lang w:val="en-AU"/>
        </w:rPr>
      </w:pPr>
    </w:p>
    <w:p w14:paraId="71E6F80F" w14:textId="0CB94CFF" w:rsidR="004775EE" w:rsidRPr="004775EE" w:rsidRDefault="004775EE" w:rsidP="00563132">
      <w:pPr>
        <w:rPr>
          <w:b/>
          <w:lang w:val="en-AU"/>
        </w:rPr>
      </w:pPr>
      <w:r w:rsidRPr="004775EE">
        <w:rPr>
          <w:b/>
          <w:lang w:val="en-AU"/>
        </w:rPr>
        <w:lastRenderedPageBreak/>
        <w:t>Effe</w:t>
      </w:r>
      <w:r w:rsidR="00702418">
        <w:rPr>
          <w:b/>
          <w:lang w:val="en-AU"/>
        </w:rPr>
        <w:t>c</w:t>
      </w:r>
      <w:r w:rsidRPr="004775EE">
        <w:rPr>
          <w:b/>
          <w:lang w:val="en-AU"/>
        </w:rPr>
        <w:t xml:space="preserve">ts of Hypercapnia and Hypercapneic Acidosis on Hospital Mortality in </w:t>
      </w:r>
      <w:r w:rsidR="00702418" w:rsidRPr="004775EE">
        <w:rPr>
          <w:b/>
          <w:lang w:val="en-AU"/>
        </w:rPr>
        <w:t>Mechanically</w:t>
      </w:r>
      <w:r w:rsidRPr="004775EE">
        <w:rPr>
          <w:b/>
          <w:lang w:val="en-AU"/>
        </w:rPr>
        <w:t xml:space="preserve"> Ventilated Patients</w:t>
      </w:r>
    </w:p>
    <w:p w14:paraId="0745FDDC" w14:textId="77777777" w:rsidR="004775EE" w:rsidRDefault="004775EE" w:rsidP="00563132">
      <w:pPr>
        <w:rPr>
          <w:lang w:val="en-AU"/>
        </w:rPr>
      </w:pPr>
    </w:p>
    <w:p w14:paraId="64455C15" w14:textId="3C297E3B" w:rsidR="004775EE" w:rsidRDefault="004B478E" w:rsidP="00563132">
      <w:pPr>
        <w:rPr>
          <w:lang w:val="en-AU"/>
        </w:rPr>
      </w:pPr>
      <w:r>
        <w:rPr>
          <w:lang w:val="en-AU"/>
        </w:rPr>
        <w:t xml:space="preserve">Background: </w:t>
      </w:r>
    </w:p>
    <w:p w14:paraId="50F40325" w14:textId="35A96D0F" w:rsidR="004B478E" w:rsidRDefault="004B478E" w:rsidP="004B478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Lung protective ventilation methods may cause mild to moderate hypercapneia and acidosis but is currently accepted</w:t>
      </w:r>
    </w:p>
    <w:p w14:paraId="10761E2F" w14:textId="54D01C41" w:rsidR="00205FF2" w:rsidRDefault="00205FF2" w:rsidP="004B478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Some theoretical benefits of hypercapneia but not studied in people</w:t>
      </w:r>
    </w:p>
    <w:p w14:paraId="65179586" w14:textId="206A15AA" w:rsidR="00205FF2" w:rsidRDefault="00205FF2" w:rsidP="004B478E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Hypercapneic acidosis in animal </w:t>
      </w:r>
      <w:r w:rsidR="00702418">
        <w:rPr>
          <w:lang w:val="en-AU"/>
        </w:rPr>
        <w:t>studies</w:t>
      </w:r>
      <w:r>
        <w:rPr>
          <w:lang w:val="en-AU"/>
        </w:rPr>
        <w:t xml:space="preserve"> worsens lung injury, hemodynamic instability, immune </w:t>
      </w:r>
      <w:r w:rsidR="00702418">
        <w:rPr>
          <w:lang w:val="en-AU"/>
        </w:rPr>
        <w:t>suppression</w:t>
      </w:r>
    </w:p>
    <w:p w14:paraId="367F6402" w14:textId="77777777" w:rsidR="004B478E" w:rsidRDefault="004B478E" w:rsidP="004B478E">
      <w:pPr>
        <w:ind w:left="360"/>
        <w:rPr>
          <w:lang w:val="en-AU"/>
        </w:rPr>
      </w:pPr>
    </w:p>
    <w:p w14:paraId="421EC829" w14:textId="526B302A" w:rsidR="004B478E" w:rsidRDefault="00C91204" w:rsidP="004B478E">
      <w:pPr>
        <w:ind w:left="360"/>
        <w:rPr>
          <w:lang w:val="en-AU"/>
        </w:rPr>
      </w:pPr>
      <w:r>
        <w:rPr>
          <w:lang w:val="en-AU"/>
        </w:rPr>
        <w:t>Study:</w:t>
      </w:r>
    </w:p>
    <w:p w14:paraId="651E31D9" w14:textId="1BCE420A" w:rsidR="00C91204" w:rsidRDefault="00C91204" w:rsidP="00C91204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Retrospective review of adults 250000 with resp failure within 24hrs of ICU admission </w:t>
      </w:r>
    </w:p>
    <w:p w14:paraId="447BE6C6" w14:textId="0B5E917F" w:rsidR="00C91204" w:rsidRDefault="00C91204" w:rsidP="00C91204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Evaluated worst pH/PCO2 combination during first 24hrs, 3 groups</w:t>
      </w:r>
    </w:p>
    <w:p w14:paraId="60511AA9" w14:textId="2ED2BC7E" w:rsidR="00C91204" w:rsidRDefault="00C91204" w:rsidP="00C91204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Normocapneic, normal pH</w:t>
      </w:r>
    </w:p>
    <w:p w14:paraId="709C14B1" w14:textId="46A66F9B" w:rsidR="00C91204" w:rsidRDefault="00C91204" w:rsidP="00C91204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Hypercapneic (&gt;45) normal pH</w:t>
      </w:r>
    </w:p>
    <w:p w14:paraId="659600B8" w14:textId="7B083702" w:rsidR="00C91204" w:rsidRDefault="00C91204" w:rsidP="00C91204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Hypercapneic acidosis </w:t>
      </w:r>
    </w:p>
    <w:p w14:paraId="7A146233" w14:textId="05334AEE" w:rsidR="00C91204" w:rsidRDefault="00C91204" w:rsidP="00C91204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Other acid base disturbances were excluded</w:t>
      </w:r>
    </w:p>
    <w:p w14:paraId="6290B792" w14:textId="655325AE" w:rsidR="00507F06" w:rsidRDefault="00507F06" w:rsidP="00C91204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Compensated hypercapnia OR for morality 1.3, hypercapneic acidosis 1.66</w:t>
      </w:r>
    </w:p>
    <w:p w14:paraId="64DF4B28" w14:textId="36504716" w:rsidR="00507F06" w:rsidRDefault="00507F06" w:rsidP="00507F06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>Significant irrespective of PF ratios and disease severity</w:t>
      </w:r>
    </w:p>
    <w:p w14:paraId="3CF24BBC" w14:textId="5DD5FFA8" w:rsidR="00507F06" w:rsidRDefault="00507F06" w:rsidP="00507F06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*trauma patients had lower </w:t>
      </w:r>
      <w:r w:rsidR="00702418">
        <w:rPr>
          <w:lang w:val="en-AU"/>
        </w:rPr>
        <w:t>mortality</w:t>
      </w:r>
      <w:r>
        <w:rPr>
          <w:lang w:val="en-AU"/>
        </w:rPr>
        <w:t xml:space="preserve"> </w:t>
      </w:r>
      <w:r w:rsidR="00702418">
        <w:rPr>
          <w:lang w:val="en-AU"/>
        </w:rPr>
        <w:t>with compensated hy</w:t>
      </w:r>
      <w:r>
        <w:rPr>
          <w:lang w:val="en-AU"/>
        </w:rPr>
        <w:t>percapneia)</w:t>
      </w:r>
    </w:p>
    <w:p w14:paraId="40C3DE06" w14:textId="225D16C5" w:rsidR="00507F06" w:rsidRDefault="00507F06" w:rsidP="00507F06">
      <w:pPr>
        <w:pStyle w:val="ListParagraph"/>
        <w:numPr>
          <w:ilvl w:val="1"/>
          <w:numId w:val="1"/>
        </w:numPr>
        <w:rPr>
          <w:lang w:val="en-AU"/>
        </w:rPr>
      </w:pPr>
      <w:r>
        <w:rPr>
          <w:lang w:val="en-AU"/>
        </w:rPr>
        <w:t xml:space="preserve">mortality increased </w:t>
      </w:r>
      <w:r w:rsidR="00702418">
        <w:rPr>
          <w:lang w:val="en-AU"/>
        </w:rPr>
        <w:t>gradually</w:t>
      </w:r>
      <w:r>
        <w:rPr>
          <w:lang w:val="en-AU"/>
        </w:rPr>
        <w:t xml:space="preserve"> after 45 to 65 then plateau</w:t>
      </w:r>
    </w:p>
    <w:p w14:paraId="6D262F53" w14:textId="77777777" w:rsidR="004C0D2B" w:rsidRDefault="004C0D2B" w:rsidP="004C0D2B">
      <w:pPr>
        <w:rPr>
          <w:lang w:val="en-AU"/>
        </w:rPr>
      </w:pPr>
    </w:p>
    <w:p w14:paraId="2F33ECD2" w14:textId="04443D19" w:rsidR="004C0D2B" w:rsidRDefault="004C0D2B" w:rsidP="004C0D2B">
      <w:pPr>
        <w:rPr>
          <w:lang w:val="en-AU"/>
        </w:rPr>
      </w:pPr>
      <w:r>
        <w:rPr>
          <w:lang w:val="en-AU"/>
        </w:rPr>
        <w:t>Conclusion:</w:t>
      </w:r>
    </w:p>
    <w:p w14:paraId="7610F998" w14:textId="2EA018EB" w:rsidR="004C0D2B" w:rsidRDefault="004C0D2B" w:rsidP="004C0D2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 xml:space="preserve">hypercapneic acidosis and compensated hypercapneia are </w:t>
      </w:r>
      <w:r w:rsidR="00702418">
        <w:rPr>
          <w:lang w:val="en-AU"/>
        </w:rPr>
        <w:t>associated</w:t>
      </w:r>
      <w:r>
        <w:rPr>
          <w:lang w:val="en-AU"/>
        </w:rPr>
        <w:t xml:space="preserve"> with increased mortality regardless of illness </w:t>
      </w:r>
      <w:r w:rsidR="00702418">
        <w:rPr>
          <w:lang w:val="en-AU"/>
        </w:rPr>
        <w:t>severity</w:t>
      </w:r>
    </w:p>
    <w:p w14:paraId="46309D8E" w14:textId="4DF3BD0F" w:rsidR="004C0D2B" w:rsidRDefault="004C0D2B" w:rsidP="004C0D2B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lang w:val="en-AU"/>
        </w:rPr>
        <w:t>supports careful monitoring and control of CO2 during low tidal volume ventilation, but further studies needed</w:t>
      </w:r>
    </w:p>
    <w:p w14:paraId="28AE9E18" w14:textId="77777777" w:rsidR="004C0D2B" w:rsidRDefault="004C0D2B" w:rsidP="004C0D2B">
      <w:pPr>
        <w:rPr>
          <w:lang w:val="en-AU"/>
        </w:rPr>
      </w:pPr>
    </w:p>
    <w:p w14:paraId="44D04FB0" w14:textId="77777777" w:rsidR="00FD391C" w:rsidRDefault="00FD391C" w:rsidP="004C0D2B">
      <w:pPr>
        <w:rPr>
          <w:b/>
          <w:lang w:val="en-AU"/>
        </w:rPr>
      </w:pPr>
    </w:p>
    <w:p w14:paraId="068DEC41" w14:textId="77777777" w:rsidR="00FD391C" w:rsidRDefault="00FD391C" w:rsidP="004C0D2B">
      <w:pPr>
        <w:rPr>
          <w:b/>
          <w:lang w:val="en-AU"/>
        </w:rPr>
      </w:pPr>
    </w:p>
    <w:p w14:paraId="0DAD40E0" w14:textId="77777777" w:rsidR="00FD391C" w:rsidRDefault="00FD391C" w:rsidP="004C0D2B">
      <w:pPr>
        <w:rPr>
          <w:b/>
          <w:lang w:val="en-AU"/>
        </w:rPr>
      </w:pPr>
    </w:p>
    <w:p w14:paraId="6C22E586" w14:textId="11CC2B5C" w:rsidR="004C0D2B" w:rsidRPr="004C0D2B" w:rsidRDefault="004C0D2B" w:rsidP="004C0D2B">
      <w:pPr>
        <w:rPr>
          <w:b/>
          <w:lang w:val="en-AU"/>
        </w:rPr>
      </w:pPr>
      <w:r w:rsidRPr="004C0D2B">
        <w:rPr>
          <w:b/>
          <w:lang w:val="en-AU"/>
        </w:rPr>
        <w:t>Quantifying the Effects of Prior Acetyl-Salicylic Acid on Sepsis-Related Deaths: An Individual Patient Data Meta-Analysis Using Propensity Matching</w:t>
      </w:r>
    </w:p>
    <w:p w14:paraId="4AA51D89" w14:textId="77777777" w:rsidR="004C0D2B" w:rsidRDefault="004C0D2B" w:rsidP="004C0D2B">
      <w:pPr>
        <w:tabs>
          <w:tab w:val="left" w:pos="7185"/>
        </w:tabs>
      </w:pPr>
    </w:p>
    <w:p w14:paraId="3B6AF0E7" w14:textId="77777777" w:rsidR="004C0D2B" w:rsidRDefault="004C0D2B" w:rsidP="004C0D2B">
      <w:pPr>
        <w:tabs>
          <w:tab w:val="left" w:pos="7185"/>
        </w:tabs>
      </w:pPr>
      <w:r>
        <w:t>Background:</w:t>
      </w:r>
    </w:p>
    <w:p w14:paraId="34AA7B2F" w14:textId="160069D7" w:rsidR="00DF072B" w:rsidRDefault="00702418" w:rsidP="004C0D2B">
      <w:pPr>
        <w:pStyle w:val="ListParagraph"/>
        <w:numPr>
          <w:ilvl w:val="0"/>
          <w:numId w:val="1"/>
        </w:numPr>
        <w:tabs>
          <w:tab w:val="left" w:pos="7185"/>
        </w:tabs>
      </w:pPr>
      <w:r>
        <w:t>Aspirin</w:t>
      </w:r>
      <w:r w:rsidR="00DF072B">
        <w:t xml:space="preserve"> may have beneficial effects in sepsis because…</w:t>
      </w:r>
    </w:p>
    <w:p w14:paraId="3A3B2E90" w14:textId="4FC5AD49" w:rsidR="00A021B8" w:rsidRDefault="00A021B8" w:rsidP="00A021B8">
      <w:pPr>
        <w:pStyle w:val="ListParagraph"/>
        <w:numPr>
          <w:ilvl w:val="1"/>
          <w:numId w:val="1"/>
        </w:numPr>
        <w:tabs>
          <w:tab w:val="left" w:pos="7185"/>
        </w:tabs>
      </w:pPr>
      <w:r>
        <w:t>Inhibits activation of NFk-B</w:t>
      </w:r>
    </w:p>
    <w:p w14:paraId="0B762DBF" w14:textId="2E5F53D3" w:rsidR="00A021B8" w:rsidRDefault="00A021B8" w:rsidP="00A021B8">
      <w:pPr>
        <w:pStyle w:val="ListParagraph"/>
        <w:numPr>
          <w:ilvl w:val="1"/>
          <w:numId w:val="1"/>
        </w:numPr>
        <w:tabs>
          <w:tab w:val="left" w:pos="7185"/>
        </w:tabs>
      </w:pPr>
      <w:r>
        <w:t>Increased lipotoxins which reduces inflammation</w:t>
      </w:r>
    </w:p>
    <w:p w14:paraId="68EB8522" w14:textId="4ADA4F13" w:rsidR="00A021B8" w:rsidRDefault="00A021B8" w:rsidP="00A021B8">
      <w:pPr>
        <w:pStyle w:val="ListParagraph"/>
        <w:numPr>
          <w:ilvl w:val="1"/>
          <w:numId w:val="1"/>
        </w:numPr>
        <w:tabs>
          <w:tab w:val="left" w:pos="7185"/>
        </w:tabs>
      </w:pPr>
      <w:r>
        <w:t>Increases nitric oxide production</w:t>
      </w:r>
    </w:p>
    <w:p w14:paraId="5E8CB2D7" w14:textId="382CD835" w:rsidR="00DF072B" w:rsidRDefault="00A021B8" w:rsidP="00DF072B">
      <w:pPr>
        <w:pStyle w:val="ListParagraph"/>
        <w:numPr>
          <w:ilvl w:val="1"/>
          <w:numId w:val="1"/>
        </w:numPr>
        <w:tabs>
          <w:tab w:val="left" w:pos="7185"/>
        </w:tabs>
      </w:pPr>
      <w:r>
        <w:t>Reduces platelet activation by COX1 Inhibition so reduces microcirculatory failure</w:t>
      </w:r>
    </w:p>
    <w:p w14:paraId="497C2DD8" w14:textId="77777777" w:rsidR="00EB09D1" w:rsidRDefault="00DF072B" w:rsidP="00DF072B">
      <w:pPr>
        <w:tabs>
          <w:tab w:val="left" w:pos="7185"/>
        </w:tabs>
      </w:pPr>
      <w:r>
        <w:t xml:space="preserve">Study: </w:t>
      </w:r>
    </w:p>
    <w:p w14:paraId="2E4F411E" w14:textId="77777777" w:rsidR="00EB09D1" w:rsidRDefault="00EB09D1" w:rsidP="00EB09D1">
      <w:pPr>
        <w:pStyle w:val="ListParagraph"/>
        <w:numPr>
          <w:ilvl w:val="0"/>
          <w:numId w:val="1"/>
        </w:numPr>
        <w:tabs>
          <w:tab w:val="left" w:pos="7185"/>
        </w:tabs>
      </w:pPr>
      <w:r>
        <w:t>6823 patients from 11 studies</w:t>
      </w:r>
    </w:p>
    <w:p w14:paraId="5E700B5A" w14:textId="77777777" w:rsidR="00EB09D1" w:rsidRDefault="00EB09D1" w:rsidP="00EB09D1">
      <w:pPr>
        <w:pStyle w:val="ListParagraph"/>
        <w:numPr>
          <w:ilvl w:val="0"/>
          <w:numId w:val="1"/>
        </w:numPr>
        <w:tabs>
          <w:tab w:val="left" w:pos="7185"/>
        </w:tabs>
      </w:pPr>
      <w:r>
        <w:t>Significant heterogeneity</w:t>
      </w:r>
    </w:p>
    <w:p w14:paraId="10A39825" w14:textId="55E7D74B" w:rsidR="00EB09D1" w:rsidRDefault="00EB09D1" w:rsidP="00EB09D1">
      <w:pPr>
        <w:pStyle w:val="ListParagraph"/>
        <w:numPr>
          <w:ilvl w:val="0"/>
          <w:numId w:val="1"/>
        </w:numPr>
        <w:tabs>
          <w:tab w:val="left" w:pos="7185"/>
        </w:tabs>
      </w:pPr>
      <w:r>
        <w:t>OR 0.78 (favoring aspirin p=0.11). 2% to 12% reduction in death</w:t>
      </w:r>
    </w:p>
    <w:p w14:paraId="60A82EA1" w14:textId="7B37B25D" w:rsidR="004C0D2B" w:rsidRDefault="00EB09D1" w:rsidP="00EB09D1">
      <w:pPr>
        <w:tabs>
          <w:tab w:val="left" w:pos="7185"/>
        </w:tabs>
      </w:pPr>
      <w:r w:rsidRPr="00EB09D1">
        <w:rPr>
          <w:noProof/>
        </w:rPr>
        <w:lastRenderedPageBreak/>
        <w:drawing>
          <wp:inline distT="0" distB="0" distL="0" distR="0" wp14:anchorId="22C28409" wp14:editId="14C7ABBD">
            <wp:extent cx="4398009" cy="3202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8784" cy="32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0D2B">
        <w:tab/>
      </w:r>
    </w:p>
    <w:p w14:paraId="6653F971" w14:textId="77777777" w:rsidR="00B37B35" w:rsidRDefault="00B37B35" w:rsidP="00EB09D1">
      <w:pPr>
        <w:tabs>
          <w:tab w:val="left" w:pos="7185"/>
        </w:tabs>
      </w:pPr>
    </w:p>
    <w:p w14:paraId="3E954B87" w14:textId="77777777" w:rsidR="00B37B35" w:rsidRDefault="00B37B35" w:rsidP="00EB09D1">
      <w:pPr>
        <w:tabs>
          <w:tab w:val="left" w:pos="7185"/>
        </w:tabs>
      </w:pPr>
    </w:p>
    <w:p w14:paraId="007F4DF8" w14:textId="329E95F6" w:rsidR="00B37B35" w:rsidRDefault="00B37B35" w:rsidP="00EB09D1">
      <w:pPr>
        <w:tabs>
          <w:tab w:val="left" w:pos="7185"/>
        </w:tabs>
      </w:pPr>
      <w:r>
        <w:t>For reference:</w:t>
      </w:r>
    </w:p>
    <w:p w14:paraId="2EDEC0FE" w14:textId="21E1031A" w:rsidR="00B37B35" w:rsidRDefault="00B37B35" w:rsidP="007A7B0B">
      <w:pPr>
        <w:tabs>
          <w:tab w:val="left" w:pos="7185"/>
        </w:tabs>
        <w:outlineLvl w:val="0"/>
        <w:rPr>
          <w:b/>
        </w:rPr>
      </w:pPr>
      <w:r w:rsidRPr="00B37B35">
        <w:rPr>
          <w:b/>
        </w:rPr>
        <w:t>Treatment of Hyponatremic Encephalopathy in the Critically Ill</w:t>
      </w:r>
      <w:r>
        <w:rPr>
          <w:b/>
        </w:rPr>
        <w:t>. Achinger &amp; Ayus.</w:t>
      </w:r>
    </w:p>
    <w:p w14:paraId="372BD26A" w14:textId="77777777" w:rsidR="007A7B0B" w:rsidRDefault="007A7B0B" w:rsidP="007A7B0B">
      <w:pPr>
        <w:tabs>
          <w:tab w:val="left" w:pos="7185"/>
        </w:tabs>
        <w:outlineLvl w:val="0"/>
        <w:rPr>
          <w:b/>
        </w:rPr>
      </w:pPr>
    </w:p>
    <w:p w14:paraId="2733FF75" w14:textId="36CCF1F8" w:rsidR="007A7B0B" w:rsidRPr="00B37B35" w:rsidRDefault="007A7B0B" w:rsidP="007A7B0B">
      <w:pPr>
        <w:tabs>
          <w:tab w:val="left" w:pos="7185"/>
        </w:tabs>
        <w:outlineLvl w:val="0"/>
        <w:rPr>
          <w:b/>
        </w:rPr>
      </w:pPr>
      <w:r w:rsidRPr="007A7B0B">
        <w:rPr>
          <w:b/>
          <w:noProof/>
        </w:rPr>
        <w:drawing>
          <wp:inline distT="0" distB="0" distL="0" distR="0" wp14:anchorId="6F6B898D" wp14:editId="136A9617">
            <wp:extent cx="4051935" cy="4243300"/>
            <wp:effectExtent l="0" t="0" r="1206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467" cy="425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B0B" w:rsidRPr="00B37B35" w:rsidSect="005D493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F7EFF"/>
    <w:multiLevelType w:val="hybridMultilevel"/>
    <w:tmpl w:val="29FC22A2"/>
    <w:lvl w:ilvl="0" w:tplc="BFA6E12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D9"/>
    <w:rsid w:val="001C68DC"/>
    <w:rsid w:val="00205FF2"/>
    <w:rsid w:val="00235C1B"/>
    <w:rsid w:val="004775EE"/>
    <w:rsid w:val="004B478E"/>
    <w:rsid w:val="004C0D2B"/>
    <w:rsid w:val="00507F06"/>
    <w:rsid w:val="00563132"/>
    <w:rsid w:val="005D4932"/>
    <w:rsid w:val="006C3A0C"/>
    <w:rsid w:val="00702418"/>
    <w:rsid w:val="007A7B0B"/>
    <w:rsid w:val="007F4ED9"/>
    <w:rsid w:val="009634F3"/>
    <w:rsid w:val="00A021B8"/>
    <w:rsid w:val="00B37B35"/>
    <w:rsid w:val="00C91204"/>
    <w:rsid w:val="00DF072B"/>
    <w:rsid w:val="00EB09D1"/>
    <w:rsid w:val="00FB31A8"/>
    <w:rsid w:val="00FC4210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C59E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4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L. Wallis</dc:creator>
  <cp:keywords/>
  <dc:description/>
  <cp:lastModifiedBy>Jessica L. Wallis</cp:lastModifiedBy>
  <cp:revision>2</cp:revision>
  <dcterms:created xsi:type="dcterms:W3CDTF">2017-11-16T20:55:00Z</dcterms:created>
  <dcterms:modified xsi:type="dcterms:W3CDTF">2017-11-16T20:55:00Z</dcterms:modified>
</cp:coreProperties>
</file>