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81A" w:rsidRDefault="00707D15">
      <w:pPr>
        <w:rPr>
          <w:noProof/>
        </w:rPr>
      </w:pPr>
      <w:bookmarkStart w:id="0" w:name="_GoBack"/>
      <w:r w:rsidRPr="00707D15">
        <w:drawing>
          <wp:inline distT="0" distB="0" distL="0" distR="0" wp14:anchorId="618E2592" wp14:editId="715B3D00">
            <wp:extent cx="5338916" cy="20597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916" cy="205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707D15">
        <w:rPr>
          <w:noProof/>
        </w:rPr>
        <w:t xml:space="preserve"> </w:t>
      </w:r>
      <w:r w:rsidRPr="00707D15">
        <w:drawing>
          <wp:inline distT="0" distB="0" distL="0" distR="0" wp14:anchorId="3EE89860" wp14:editId="00964725">
            <wp:extent cx="2942303" cy="4449336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935" cy="448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7D15">
        <w:rPr>
          <w:noProof/>
        </w:rPr>
        <w:t xml:space="preserve"> </w:t>
      </w:r>
      <w:r w:rsidRPr="00707D15">
        <w:rPr>
          <w:noProof/>
        </w:rPr>
        <w:drawing>
          <wp:inline distT="0" distB="0" distL="0" distR="0" wp14:anchorId="693CE354" wp14:editId="2CADB09A">
            <wp:extent cx="2846439" cy="1610371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849" cy="161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D15" w:rsidRDefault="00FA67D1">
      <w:pPr>
        <w:rPr>
          <w:noProof/>
        </w:rPr>
      </w:pPr>
      <w:r>
        <w:rPr>
          <w:noProof/>
        </w:rPr>
        <w:t>PI = EI and CI</w:t>
      </w:r>
    </w:p>
    <w:p w:rsidR="00BB4143" w:rsidRDefault="00BB4143">
      <w:pPr>
        <w:rPr>
          <w:noProof/>
        </w:rPr>
      </w:pPr>
      <w:r>
        <w:rPr>
          <w:noProof/>
        </w:rPr>
        <w:t>Improvement in both more and less severely ill patients</w:t>
      </w:r>
    </w:p>
    <w:p w:rsidR="00707D15" w:rsidRDefault="00816BE1">
      <w:pPr>
        <w:rPr>
          <w:noProof/>
        </w:rPr>
      </w:pPr>
      <w:r w:rsidRPr="00816BE1">
        <w:rPr>
          <w:noProof/>
        </w:rPr>
        <w:lastRenderedPageBreak/>
        <w:drawing>
          <wp:inline distT="0" distB="0" distL="0" distR="0" wp14:anchorId="542EC8B2" wp14:editId="011F909A">
            <wp:extent cx="5943600" cy="47193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D15" w:rsidRDefault="0071004F">
      <w:pPr>
        <w:rPr>
          <w:noProof/>
        </w:rPr>
      </w:pPr>
      <w:r w:rsidRPr="0071004F">
        <w:lastRenderedPageBreak/>
        <w:drawing>
          <wp:inline distT="0" distB="0" distL="0" distR="0" wp14:anchorId="0A5BD466" wp14:editId="28EBE22D">
            <wp:extent cx="4925961" cy="165514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373" cy="167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004F">
        <w:rPr>
          <w:noProof/>
        </w:rPr>
        <w:t xml:space="preserve"> </w:t>
      </w:r>
      <w:r w:rsidRPr="0071004F">
        <w:drawing>
          <wp:inline distT="0" distB="0" distL="0" distR="0" wp14:anchorId="19000A30" wp14:editId="0834DC70">
            <wp:extent cx="2899419" cy="28833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510" cy="28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004F">
        <w:rPr>
          <w:noProof/>
        </w:rPr>
        <w:t xml:space="preserve">  </w:t>
      </w:r>
      <w:r w:rsidRPr="0071004F">
        <w:rPr>
          <w:noProof/>
        </w:rPr>
        <w:drawing>
          <wp:inline distT="0" distB="0" distL="0" distR="0" wp14:anchorId="2551E8CA" wp14:editId="3BF3FE45">
            <wp:extent cx="2930663" cy="2440858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261" cy="244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04F" w:rsidRDefault="0071004F">
      <w:pPr>
        <w:rPr>
          <w:noProof/>
        </w:rPr>
      </w:pPr>
    </w:p>
    <w:p w:rsidR="0071004F" w:rsidRDefault="00FA67D1">
      <w:pPr>
        <w:rPr>
          <w:noProof/>
        </w:rPr>
      </w:pPr>
      <w:r>
        <w:rPr>
          <w:noProof/>
        </w:rPr>
        <w:t>46/1003</w:t>
      </w:r>
    </w:p>
    <w:p w:rsidR="00BB4143" w:rsidRDefault="00BB4143" w:rsidP="00BB4143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26"/>
          <w:szCs w:val="26"/>
        </w:rPr>
        <w:t>P</w:t>
      </w:r>
      <w:r>
        <w:rPr>
          <w:rFonts w:ascii="Times" w:hAnsi="Times" w:cs="Times"/>
          <w:color w:val="000000"/>
          <w:sz w:val="26"/>
          <w:szCs w:val="26"/>
        </w:rPr>
        <w:t xml:space="preserve">atients who received EA were less likely to have acute respiratory dis- </w:t>
      </w:r>
      <w:proofErr w:type="spellStart"/>
      <w:r>
        <w:rPr>
          <w:rFonts w:ascii="Times" w:hAnsi="Times" w:cs="Times"/>
          <w:color w:val="000000"/>
          <w:sz w:val="26"/>
          <w:szCs w:val="26"/>
        </w:rPr>
        <w:t>tress</w:t>
      </w:r>
      <w:proofErr w:type="spellEnd"/>
      <w:r>
        <w:rPr>
          <w:rFonts w:ascii="Times" w:hAnsi="Times" w:cs="Times"/>
          <w:color w:val="000000"/>
          <w:sz w:val="26"/>
          <w:szCs w:val="26"/>
        </w:rPr>
        <w:t xml:space="preserve"> syndrome (ARDS) or AKI at baseline </w:t>
      </w:r>
      <w:r>
        <w:rPr>
          <w:rFonts w:ascii="Times" w:hAnsi="Times" w:cs="Times"/>
          <w:color w:val="000000"/>
          <w:sz w:val="26"/>
          <w:szCs w:val="26"/>
        </w:rPr>
        <w:br/>
        <w:t>Thirty-day mortal</w:t>
      </w:r>
      <w:r>
        <w:rPr>
          <w:rFonts w:ascii="Times" w:hAnsi="Times" w:cs="Times"/>
          <w:color w:val="000000"/>
          <w:sz w:val="26"/>
          <w:szCs w:val="26"/>
        </w:rPr>
        <w:t xml:space="preserve">ity was reduced in patients who received EA, compared with those who did not (4% vs. 22%; </w:t>
      </w:r>
      <w:r>
        <w:rPr>
          <w:rFonts w:ascii="Times" w:hAnsi="Times" w:cs="Times"/>
          <w:i/>
          <w:iCs/>
          <w:color w:val="000000"/>
          <w:sz w:val="26"/>
          <w:szCs w:val="26"/>
        </w:rPr>
        <w:t xml:space="preserve">p </w:t>
      </w:r>
      <w:r>
        <w:rPr>
          <w:rFonts w:ascii="Times" w:hAnsi="Times" w:cs="Times"/>
          <w:color w:val="000000"/>
          <w:sz w:val="26"/>
          <w:szCs w:val="26"/>
        </w:rPr>
        <w:t xml:space="preserve">= 0.003). </w:t>
      </w:r>
    </w:p>
    <w:p w:rsidR="00BB4143" w:rsidRDefault="00BB4143" w:rsidP="00BB4143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  <w:sz w:val="26"/>
          <w:szCs w:val="26"/>
        </w:rPr>
      </w:pPr>
      <w:r>
        <w:rPr>
          <w:rFonts w:ascii="Times" w:hAnsi="Times" w:cs="Times"/>
          <w:color w:val="000000"/>
          <w:sz w:val="26"/>
          <w:szCs w:val="26"/>
        </w:rPr>
        <w:t>Patients receiving EA were le</w:t>
      </w:r>
      <w:r>
        <w:rPr>
          <w:rFonts w:ascii="Times" w:hAnsi="Times" w:cs="Times"/>
          <w:color w:val="000000"/>
          <w:sz w:val="26"/>
          <w:szCs w:val="26"/>
        </w:rPr>
        <w:t>ss likely to develop acute mes</w:t>
      </w:r>
      <w:r>
        <w:rPr>
          <w:rFonts w:ascii="Times" w:hAnsi="Times" w:cs="Times"/>
          <w:color w:val="000000"/>
          <w:sz w:val="26"/>
          <w:szCs w:val="26"/>
        </w:rPr>
        <w:t>enteric ischemia than those who did not receive EA (</w:t>
      </w:r>
      <w:r>
        <w:rPr>
          <w:rFonts w:ascii="Times" w:hAnsi="Times" w:cs="Times"/>
          <w:i/>
          <w:iCs/>
          <w:color w:val="000000"/>
          <w:sz w:val="26"/>
          <w:szCs w:val="26"/>
        </w:rPr>
        <w:t xml:space="preserve">p </w:t>
      </w:r>
      <w:r>
        <w:rPr>
          <w:rFonts w:ascii="Times" w:hAnsi="Times" w:cs="Times"/>
          <w:color w:val="000000"/>
          <w:sz w:val="26"/>
          <w:szCs w:val="26"/>
        </w:rPr>
        <w:t>= 0.02), and EA was associated with reduced 30-day occurrence rate of ARDS, intraabdominal infection and sepsi</w:t>
      </w:r>
      <w:r>
        <w:rPr>
          <w:rFonts w:ascii="Times" w:hAnsi="Times" w:cs="Times"/>
          <w:color w:val="000000"/>
          <w:sz w:val="26"/>
          <w:szCs w:val="26"/>
        </w:rPr>
        <w:t>s, although statistical signifi</w:t>
      </w:r>
      <w:r>
        <w:rPr>
          <w:rFonts w:ascii="Times" w:hAnsi="Times" w:cs="Times"/>
          <w:color w:val="000000"/>
          <w:sz w:val="26"/>
          <w:szCs w:val="26"/>
        </w:rPr>
        <w:t xml:space="preserve">cance was not reached. </w:t>
      </w:r>
    </w:p>
    <w:p w:rsidR="00BB4143" w:rsidRDefault="00BB4143" w:rsidP="00BB4143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26"/>
          <w:szCs w:val="26"/>
        </w:rPr>
        <w:t xml:space="preserve">Its main effects in animals include increased survival, reduced lactic acidosis, reduced hepatocyte apoptosis and sinusoid vasoconstriction, improved pancreatic and </w:t>
      </w:r>
      <w:proofErr w:type="spellStart"/>
      <w:r>
        <w:rPr>
          <w:rFonts w:ascii="Times" w:hAnsi="Times" w:cs="Times"/>
          <w:color w:val="000000"/>
          <w:sz w:val="26"/>
          <w:szCs w:val="26"/>
        </w:rPr>
        <w:t>ileal</w:t>
      </w:r>
      <w:proofErr w:type="spellEnd"/>
      <w:r>
        <w:rPr>
          <w:rFonts w:ascii="Times" w:hAnsi="Times" w:cs="Times"/>
          <w:color w:val="000000"/>
          <w:sz w:val="26"/>
          <w:szCs w:val="26"/>
        </w:rPr>
        <w:t xml:space="preserve"> perfusion, increased gut barrier function and renal perfusio</w:t>
      </w:r>
      <w:r>
        <w:rPr>
          <w:rFonts w:ascii="Times" w:hAnsi="Times" w:cs="Times"/>
          <w:color w:val="000000"/>
          <w:sz w:val="26"/>
          <w:szCs w:val="26"/>
        </w:rPr>
        <w:t>n, better lung hypoxic vasocon</w:t>
      </w:r>
      <w:r>
        <w:rPr>
          <w:rFonts w:ascii="Times" w:hAnsi="Times" w:cs="Times"/>
          <w:color w:val="000000"/>
          <w:sz w:val="26"/>
          <w:szCs w:val="26"/>
        </w:rPr>
        <w:t xml:space="preserve">striction response, and decreased plasma interleukin-6 </w:t>
      </w:r>
    </w:p>
    <w:p w:rsidR="00BB4143" w:rsidRDefault="00BB4143" w:rsidP="00BB4143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</w:rPr>
      </w:pPr>
    </w:p>
    <w:p w:rsidR="0071004F" w:rsidRDefault="0071004F">
      <w:pPr>
        <w:rPr>
          <w:noProof/>
        </w:rPr>
      </w:pPr>
    </w:p>
    <w:p w:rsidR="0071004F" w:rsidRDefault="0071004F">
      <w:r w:rsidRPr="0071004F">
        <w:lastRenderedPageBreak/>
        <w:drawing>
          <wp:inline distT="0" distB="0" distL="0" distR="0" wp14:anchorId="0BBF1E56" wp14:editId="22D5E50F">
            <wp:extent cx="5235677" cy="1635031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6379" cy="163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04F" w:rsidRDefault="0071004F">
      <w:pPr>
        <w:rPr>
          <w:noProof/>
        </w:rPr>
      </w:pPr>
      <w:r w:rsidRPr="0071004F">
        <w:drawing>
          <wp:inline distT="0" distB="0" distL="0" distR="0" wp14:anchorId="2E5C5869" wp14:editId="6A299C63">
            <wp:extent cx="2911232" cy="51250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691" cy="514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004F">
        <w:rPr>
          <w:noProof/>
        </w:rPr>
        <w:t xml:space="preserve"> </w:t>
      </w:r>
      <w:r w:rsidRPr="0071004F">
        <w:drawing>
          <wp:inline distT="0" distB="0" distL="0" distR="0" wp14:anchorId="322929B4" wp14:editId="3D0B5167">
            <wp:extent cx="2992699" cy="1492250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283" cy="150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04F" w:rsidRDefault="0071004F">
      <w:pPr>
        <w:rPr>
          <w:noProof/>
        </w:rPr>
      </w:pPr>
    </w:p>
    <w:p w:rsidR="000377AE" w:rsidRDefault="000377AE" w:rsidP="000377AE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  <w:sz w:val="26"/>
          <w:szCs w:val="26"/>
        </w:rPr>
      </w:pPr>
      <w:r>
        <w:rPr>
          <w:rFonts w:ascii="Times" w:hAnsi="Times" w:cs="Times"/>
          <w:color w:val="000000"/>
          <w:sz w:val="26"/>
          <w:szCs w:val="26"/>
        </w:rPr>
        <w:t xml:space="preserve">Retrospective </w:t>
      </w:r>
    </w:p>
    <w:p w:rsidR="000377AE" w:rsidRDefault="000377AE" w:rsidP="000377AE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26"/>
          <w:szCs w:val="26"/>
        </w:rPr>
        <w:t>We quantifi</w:t>
      </w:r>
      <w:r>
        <w:rPr>
          <w:rFonts w:ascii="Times" w:hAnsi="Times" w:cs="Times"/>
          <w:color w:val="000000"/>
          <w:sz w:val="26"/>
          <w:szCs w:val="26"/>
        </w:rPr>
        <w:t xml:space="preserve">ed excess (i.e., above goal) oxygen exposure for any </w:t>
      </w:r>
      <w:proofErr w:type="spellStart"/>
      <w:r>
        <w:rPr>
          <w:rFonts w:ascii="Times" w:hAnsi="Times" w:cs="Times"/>
          <w:color w:val="000000"/>
          <w:sz w:val="26"/>
          <w:szCs w:val="26"/>
        </w:rPr>
        <w:t>F</w:t>
      </w:r>
      <w:r>
        <w:rPr>
          <w:rFonts w:ascii="Times" w:hAnsi="Times" w:cs="Times"/>
          <w:color w:val="000000"/>
          <w:sz w:val="18"/>
          <w:szCs w:val="18"/>
        </w:rPr>
        <w:t>io</w:t>
      </w:r>
      <w:proofErr w:type="spellEnd"/>
      <w:r>
        <w:rPr>
          <w:rFonts w:ascii="Times" w:hAnsi="Times" w:cs="Times"/>
          <w:color w:val="000000"/>
          <w:position w:val="-8"/>
          <w:sz w:val="16"/>
          <w:szCs w:val="16"/>
        </w:rPr>
        <w:t xml:space="preserve">2 </w:t>
      </w:r>
      <w:r>
        <w:rPr>
          <w:rFonts w:ascii="Times" w:hAnsi="Times" w:cs="Times"/>
          <w:color w:val="000000"/>
          <w:sz w:val="26"/>
          <w:szCs w:val="26"/>
        </w:rPr>
        <w:t xml:space="preserve">greater than 0.5 when the </w:t>
      </w:r>
      <w:proofErr w:type="spellStart"/>
      <w:r>
        <w:rPr>
          <w:rFonts w:ascii="Times" w:hAnsi="Times" w:cs="Times"/>
          <w:color w:val="000000"/>
          <w:sz w:val="26"/>
          <w:szCs w:val="26"/>
        </w:rPr>
        <w:t>Pa</w:t>
      </w:r>
      <w:r>
        <w:rPr>
          <w:rFonts w:ascii="Times" w:hAnsi="Times" w:cs="Times"/>
          <w:color w:val="000000"/>
          <w:sz w:val="18"/>
          <w:szCs w:val="18"/>
        </w:rPr>
        <w:t>o</w:t>
      </w:r>
      <w:proofErr w:type="spellEnd"/>
      <w:r>
        <w:rPr>
          <w:rFonts w:ascii="Times" w:hAnsi="Times" w:cs="Times"/>
          <w:color w:val="000000"/>
          <w:position w:val="-8"/>
          <w:sz w:val="16"/>
          <w:szCs w:val="16"/>
        </w:rPr>
        <w:t xml:space="preserve">2 </w:t>
      </w:r>
      <w:r>
        <w:rPr>
          <w:rFonts w:ascii="Times" w:hAnsi="Times" w:cs="Times"/>
          <w:color w:val="000000"/>
          <w:sz w:val="26"/>
          <w:szCs w:val="26"/>
        </w:rPr>
        <w:t xml:space="preserve">was greater than 80 mm Hg. </w:t>
      </w:r>
    </w:p>
    <w:p w:rsidR="000377AE" w:rsidRDefault="000377AE" w:rsidP="000377AE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  <w:sz w:val="26"/>
          <w:szCs w:val="26"/>
        </w:rPr>
      </w:pPr>
      <w:r>
        <w:rPr>
          <w:rFonts w:ascii="Times" w:hAnsi="Times" w:cs="Times"/>
          <w:color w:val="000000"/>
          <w:sz w:val="26"/>
          <w:szCs w:val="26"/>
        </w:rPr>
        <w:lastRenderedPageBreak/>
        <w:t>As little as 2% of above goal ox</w:t>
      </w:r>
      <w:r>
        <w:rPr>
          <w:rFonts w:ascii="Times" w:hAnsi="Times" w:cs="Times"/>
          <w:color w:val="000000"/>
          <w:sz w:val="26"/>
          <w:szCs w:val="26"/>
        </w:rPr>
        <w:t xml:space="preserve">y- gen exposure per day was </w:t>
      </w:r>
      <w:proofErr w:type="spellStart"/>
      <w:r>
        <w:rPr>
          <w:rFonts w:ascii="Times" w:hAnsi="Times" w:cs="Times"/>
          <w:color w:val="000000"/>
          <w:sz w:val="26"/>
          <w:szCs w:val="26"/>
        </w:rPr>
        <w:t>suficient</w:t>
      </w:r>
      <w:proofErr w:type="spellEnd"/>
      <w:r>
        <w:rPr>
          <w:rFonts w:ascii="Times" w:hAnsi="Times" w:cs="Times"/>
          <w:color w:val="000000"/>
          <w:sz w:val="26"/>
          <w:szCs w:val="26"/>
        </w:rPr>
        <w:t xml:space="preserve"> to influence clinical out</w:t>
      </w:r>
      <w:r>
        <w:rPr>
          <w:rFonts w:ascii="Times" w:hAnsi="Times" w:cs="Times"/>
          <w:color w:val="000000"/>
          <w:sz w:val="26"/>
          <w:szCs w:val="26"/>
        </w:rPr>
        <w:t xml:space="preserve">comes. </w:t>
      </w:r>
    </w:p>
    <w:p w:rsidR="000377AE" w:rsidRDefault="000377AE" w:rsidP="000377AE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  <w:sz w:val="26"/>
          <w:szCs w:val="26"/>
        </w:rPr>
      </w:pPr>
    </w:p>
    <w:p w:rsidR="000377AE" w:rsidRDefault="000377AE" w:rsidP="000377AE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</w:rPr>
      </w:pPr>
      <w:r w:rsidRPr="000377AE">
        <w:rPr>
          <w:rFonts w:ascii="Times" w:hAnsi="Times" w:cs="Times"/>
          <w:color w:val="000000"/>
        </w:rPr>
        <w:drawing>
          <wp:inline distT="0" distB="0" distL="0" distR="0" wp14:anchorId="395B9C43" wp14:editId="31452C89">
            <wp:extent cx="4572000" cy="3429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4917" cy="343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04F" w:rsidRDefault="0071004F">
      <w:pPr>
        <w:rPr>
          <w:noProof/>
        </w:rPr>
      </w:pPr>
    </w:p>
    <w:p w:rsidR="0071004F" w:rsidRDefault="0071004F">
      <w:pPr>
        <w:rPr>
          <w:noProof/>
        </w:rPr>
      </w:pPr>
    </w:p>
    <w:p w:rsidR="0071004F" w:rsidRDefault="0071004F">
      <w:pPr>
        <w:rPr>
          <w:noProof/>
        </w:rPr>
      </w:pPr>
    </w:p>
    <w:p w:rsidR="0071004F" w:rsidRDefault="0071004F">
      <w:pPr>
        <w:rPr>
          <w:noProof/>
        </w:rPr>
      </w:pPr>
    </w:p>
    <w:p w:rsidR="0071004F" w:rsidRDefault="0071004F">
      <w:pPr>
        <w:rPr>
          <w:noProof/>
        </w:rPr>
      </w:pPr>
    </w:p>
    <w:p w:rsidR="0071004F" w:rsidRDefault="0071004F">
      <w:pPr>
        <w:rPr>
          <w:noProof/>
        </w:rPr>
      </w:pPr>
    </w:p>
    <w:p w:rsidR="0071004F" w:rsidRDefault="0071004F">
      <w:pPr>
        <w:rPr>
          <w:noProof/>
        </w:rPr>
      </w:pPr>
    </w:p>
    <w:p w:rsidR="0071004F" w:rsidRDefault="0071004F">
      <w:pPr>
        <w:rPr>
          <w:noProof/>
        </w:rPr>
      </w:pPr>
    </w:p>
    <w:p w:rsidR="0071004F" w:rsidRDefault="0071004F">
      <w:r w:rsidRPr="0071004F">
        <w:lastRenderedPageBreak/>
        <w:drawing>
          <wp:inline distT="0" distB="0" distL="0" distR="0" wp14:anchorId="1C55A802" wp14:editId="42DDF539">
            <wp:extent cx="5132439" cy="453694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044" cy="455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04F" w:rsidRDefault="00C97F97">
      <w:r w:rsidRPr="00C97F97">
        <w:drawing>
          <wp:inline distT="0" distB="0" distL="0" distR="0" wp14:anchorId="258CBB32" wp14:editId="0CE54FEA">
            <wp:extent cx="4268445" cy="363547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81" cy="364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04F" w:rsidRDefault="0071004F">
      <w:r w:rsidRPr="0071004F">
        <w:lastRenderedPageBreak/>
        <w:drawing>
          <wp:inline distT="0" distB="0" distL="0" distR="0" wp14:anchorId="63DEEC70" wp14:editId="75FD0F41">
            <wp:extent cx="5943600" cy="63131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E70" w:rsidRDefault="00366E70" w:rsidP="00366E70">
      <w:pPr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26"/>
          <w:szCs w:val="26"/>
        </w:rPr>
        <w:t>We defi</w:t>
      </w:r>
      <w:r>
        <w:rPr>
          <w:rFonts w:ascii="Times" w:hAnsi="Times" w:cs="Times"/>
          <w:color w:val="000000"/>
          <w:sz w:val="26"/>
          <w:szCs w:val="26"/>
        </w:rPr>
        <w:t xml:space="preserve">ned </w:t>
      </w:r>
      <w:r>
        <w:rPr>
          <w:rFonts w:ascii="Times" w:hAnsi="Times" w:cs="Times"/>
          <w:color w:val="000000"/>
          <w:sz w:val="26"/>
          <w:szCs w:val="26"/>
        </w:rPr>
        <w:t>fluid responsive as an ini</w:t>
      </w:r>
      <w:r>
        <w:rPr>
          <w:rFonts w:ascii="Times" w:hAnsi="Times" w:cs="Times"/>
          <w:color w:val="000000"/>
          <w:sz w:val="26"/>
          <w:szCs w:val="26"/>
        </w:rPr>
        <w:t xml:space="preserve">tially hypotensive patient who sustained SBP greater than 90 mm Hg and </w:t>
      </w:r>
      <w:r>
        <w:rPr>
          <w:rFonts w:ascii="Times" w:hAnsi="Times" w:cs="Times"/>
          <w:color w:val="000000"/>
          <w:sz w:val="26"/>
          <w:szCs w:val="26"/>
        </w:rPr>
        <w:t>MAP greater than 65 mm Hg with</w:t>
      </w:r>
      <w:r>
        <w:rPr>
          <w:rFonts w:ascii="Times" w:hAnsi="Times" w:cs="Times"/>
          <w:color w:val="000000"/>
          <w:sz w:val="26"/>
          <w:szCs w:val="26"/>
        </w:rPr>
        <w:t>out requiring vasopressor titrat</w:t>
      </w:r>
      <w:r>
        <w:rPr>
          <w:rFonts w:ascii="Times" w:hAnsi="Times" w:cs="Times"/>
          <w:color w:val="000000"/>
          <w:sz w:val="26"/>
          <w:szCs w:val="26"/>
        </w:rPr>
        <w:t>ion for 24 hours after the ini</w:t>
      </w:r>
      <w:r>
        <w:rPr>
          <w:rFonts w:ascii="Times" w:hAnsi="Times" w:cs="Times"/>
          <w:color w:val="000000"/>
          <w:sz w:val="26"/>
          <w:szCs w:val="26"/>
        </w:rPr>
        <w:t xml:space="preserve">tiation of </w:t>
      </w:r>
      <w:r>
        <w:rPr>
          <w:rFonts w:ascii="Times" w:hAnsi="Times" w:cs="Times"/>
          <w:color w:val="000000"/>
          <w:sz w:val="26"/>
          <w:szCs w:val="26"/>
        </w:rPr>
        <w:t>fl</w:t>
      </w:r>
      <w:r>
        <w:rPr>
          <w:rFonts w:ascii="Times" w:hAnsi="Times" w:cs="Times"/>
          <w:color w:val="000000"/>
          <w:sz w:val="26"/>
          <w:szCs w:val="26"/>
        </w:rPr>
        <w:t xml:space="preserve">uid resuscitation </w:t>
      </w:r>
      <w:r w:rsidR="008C3F6F">
        <w:rPr>
          <w:rFonts w:ascii="Times" w:hAnsi="Times" w:cs="Times"/>
          <w:color w:val="000000"/>
          <w:sz w:val="26"/>
          <w:szCs w:val="26"/>
        </w:rPr>
        <w:br/>
        <w:t xml:space="preserve">primary outcome = increased BP without </w:t>
      </w:r>
      <w:proofErr w:type="spellStart"/>
      <w:r w:rsidR="008C3F6F">
        <w:rPr>
          <w:rFonts w:ascii="Times" w:hAnsi="Times" w:cs="Times"/>
          <w:color w:val="000000"/>
          <w:sz w:val="26"/>
          <w:szCs w:val="26"/>
        </w:rPr>
        <w:t>pressors</w:t>
      </w:r>
      <w:proofErr w:type="spellEnd"/>
    </w:p>
    <w:p w:rsidR="003F7B8A" w:rsidRDefault="003F7B8A"/>
    <w:p w:rsidR="003F7B8A" w:rsidRDefault="003F7B8A">
      <w:r w:rsidRPr="003F7B8A">
        <w:lastRenderedPageBreak/>
        <w:drawing>
          <wp:inline distT="0" distB="0" distL="0" distR="0" wp14:anchorId="07C7456F" wp14:editId="356003E1">
            <wp:extent cx="5943600" cy="624522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A4B" w:rsidRDefault="00791A4B"/>
    <w:p w:rsidR="00791A4B" w:rsidRDefault="00791A4B">
      <w:r>
        <w:t>HRG is produced in liver, protein that interacts with many l</w:t>
      </w:r>
      <w:r w:rsidR="004768C6">
        <w:t>igands with many functions including host defense</w:t>
      </w:r>
      <w:r>
        <w:t xml:space="preserve"> and </w:t>
      </w:r>
      <w:proofErr w:type="spellStart"/>
      <w:r>
        <w:t>coag</w:t>
      </w:r>
      <w:proofErr w:type="spellEnd"/>
      <w:r w:rsidR="004768C6">
        <w:t xml:space="preserve">. May be more relevant to infections caused by fungi and bacteria. Levels decrease in sepsis. Treatment with HRG in septic mice improved survival. </w:t>
      </w:r>
    </w:p>
    <w:sectPr w:rsidR="00791A4B" w:rsidSect="0067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15"/>
    <w:rsid w:val="000377AE"/>
    <w:rsid w:val="000A7A3A"/>
    <w:rsid w:val="00366E70"/>
    <w:rsid w:val="003F7B8A"/>
    <w:rsid w:val="004768C6"/>
    <w:rsid w:val="006775E2"/>
    <w:rsid w:val="00707D15"/>
    <w:rsid w:val="0071004F"/>
    <w:rsid w:val="00791A4B"/>
    <w:rsid w:val="00816BE1"/>
    <w:rsid w:val="0083012A"/>
    <w:rsid w:val="008C3F6F"/>
    <w:rsid w:val="00A97064"/>
    <w:rsid w:val="00BB4143"/>
    <w:rsid w:val="00BC2B0C"/>
    <w:rsid w:val="00C97F97"/>
    <w:rsid w:val="00EE309B"/>
    <w:rsid w:val="00FA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D83FC3"/>
  <w14:defaultImageDpi w14:val="32767"/>
  <w15:chartTrackingRefBased/>
  <w15:docId w15:val="{E03CCEC6-F1DB-DA4D-A1B2-819A7B43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8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5</cp:revision>
  <dcterms:created xsi:type="dcterms:W3CDTF">2018-04-30T13:41:00Z</dcterms:created>
  <dcterms:modified xsi:type="dcterms:W3CDTF">2018-05-01T19:02:00Z</dcterms:modified>
</cp:coreProperties>
</file>