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F91E2" w14:textId="77777777" w:rsidR="00670470" w:rsidRPr="006D07C0" w:rsidRDefault="00670470" w:rsidP="00B36B94">
      <w:pPr>
        <w:pStyle w:val="p1"/>
        <w:jc w:val="center"/>
        <w:rPr>
          <w:rFonts w:asciiTheme="majorBidi" w:hAnsiTheme="majorBidi" w:cstheme="majorBidi"/>
          <w:sz w:val="24"/>
          <w:szCs w:val="24"/>
        </w:rPr>
      </w:pPr>
      <w:r w:rsidRPr="006D07C0">
        <w:rPr>
          <w:rFonts w:asciiTheme="majorBidi" w:hAnsiTheme="majorBidi" w:cstheme="majorBidi"/>
          <w:sz w:val="24"/>
          <w:szCs w:val="24"/>
        </w:rPr>
        <w:t>Association of low serum 25-hydroxyvitamin D levels and</w:t>
      </w:r>
      <w:r w:rsidR="00B62506" w:rsidRPr="006D07C0">
        <w:rPr>
          <w:rFonts w:asciiTheme="majorBidi" w:hAnsiTheme="majorBidi" w:cstheme="majorBidi"/>
          <w:sz w:val="24"/>
          <w:szCs w:val="24"/>
        </w:rPr>
        <w:t xml:space="preserve"> </w:t>
      </w:r>
      <w:r w:rsidRPr="006D07C0">
        <w:rPr>
          <w:rFonts w:asciiTheme="majorBidi" w:hAnsiTheme="majorBidi" w:cstheme="majorBidi"/>
          <w:sz w:val="24"/>
          <w:szCs w:val="24"/>
        </w:rPr>
        <w:t>mortality in the critically ill</w:t>
      </w:r>
    </w:p>
    <w:p w14:paraId="24C42A74" w14:textId="77777777" w:rsidR="006D07C0" w:rsidRPr="006D07C0" w:rsidRDefault="006D07C0" w:rsidP="00B36B94">
      <w:pPr>
        <w:pStyle w:val="p1"/>
        <w:jc w:val="center"/>
        <w:rPr>
          <w:rFonts w:asciiTheme="majorBidi" w:hAnsiTheme="majorBidi" w:cstheme="majorBidi"/>
          <w:sz w:val="24"/>
          <w:szCs w:val="24"/>
        </w:rPr>
      </w:pPr>
    </w:p>
    <w:p w14:paraId="7855DF18" w14:textId="77777777" w:rsidR="006D07C0" w:rsidRPr="006D07C0" w:rsidRDefault="006D07C0" w:rsidP="006D07C0">
      <w:pPr>
        <w:pBdr>
          <w:bottom w:val="single" w:sz="6" w:space="1" w:color="auto"/>
        </w:pBdr>
        <w:rPr>
          <w:rFonts w:asciiTheme="majorBidi" w:hAnsiTheme="majorBidi" w:cstheme="majorBidi"/>
        </w:rPr>
      </w:pPr>
    </w:p>
    <w:p w14:paraId="149D79C9" w14:textId="77777777" w:rsidR="006D07C0" w:rsidRPr="006D07C0" w:rsidRDefault="006D07C0" w:rsidP="006D07C0">
      <w:pPr>
        <w:pStyle w:val="p1"/>
        <w:rPr>
          <w:rFonts w:asciiTheme="majorBidi" w:hAnsiTheme="majorBidi" w:cstheme="majorBidi"/>
          <w:sz w:val="24"/>
          <w:szCs w:val="24"/>
        </w:rPr>
      </w:pPr>
    </w:p>
    <w:p w14:paraId="00C1B93A" w14:textId="77777777" w:rsidR="0059396F" w:rsidRPr="006D07C0" w:rsidRDefault="00B5629F" w:rsidP="003D4A42">
      <w:pPr>
        <w:rPr>
          <w:rFonts w:asciiTheme="majorBidi" w:hAnsiTheme="majorBidi" w:cstheme="majorBidi"/>
          <w:b/>
          <w:bCs/>
        </w:rPr>
      </w:pPr>
      <w:r w:rsidRPr="006D07C0">
        <w:rPr>
          <w:rFonts w:asciiTheme="majorBidi" w:hAnsiTheme="majorBidi" w:cstheme="majorBidi"/>
          <w:b/>
          <w:bCs/>
        </w:rPr>
        <w:t xml:space="preserve">Key </w:t>
      </w:r>
      <w:r w:rsidR="003D4A42" w:rsidRPr="006D07C0">
        <w:rPr>
          <w:rFonts w:asciiTheme="majorBidi" w:hAnsiTheme="majorBidi" w:cstheme="majorBidi"/>
          <w:b/>
          <w:bCs/>
        </w:rPr>
        <w:t>finding</w:t>
      </w:r>
      <w:r w:rsidR="00612D42" w:rsidRPr="006D07C0">
        <w:rPr>
          <w:rFonts w:asciiTheme="majorBidi" w:hAnsiTheme="majorBidi" w:cstheme="majorBidi"/>
          <w:b/>
          <w:bCs/>
        </w:rPr>
        <w:t>s</w:t>
      </w:r>
    </w:p>
    <w:p w14:paraId="22EBA9CF" w14:textId="77777777" w:rsidR="00612D42" w:rsidRPr="006D07C0" w:rsidRDefault="00B5629F" w:rsidP="00612D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Preadmission 25(OH)D deficiency was a significant predictor of 30, 90, 365 post ICU day mortality as well as in-hospital mortality and remained a significant predictor of survival following multivariable adjustme</w:t>
      </w:r>
      <w:r w:rsidR="00612D42" w:rsidRPr="006D07C0">
        <w:rPr>
          <w:rFonts w:asciiTheme="majorBidi" w:hAnsiTheme="majorBidi" w:cstheme="majorBidi"/>
        </w:rPr>
        <w:t>nts for relevant comorbidities</w:t>
      </w:r>
    </w:p>
    <w:p w14:paraId="45DE2578" w14:textId="77777777" w:rsidR="00612D42" w:rsidRPr="006D07C0" w:rsidRDefault="00B5629F" w:rsidP="00612D4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There is also an increased susceptibility to blood culture positivity in patients with </w:t>
      </w:r>
      <w:r w:rsidR="00612D42" w:rsidRPr="006D07C0">
        <w:rPr>
          <w:rFonts w:asciiTheme="majorBidi" w:hAnsiTheme="majorBidi" w:cstheme="majorBidi"/>
        </w:rPr>
        <w:t>vitamin D deficiency</w:t>
      </w:r>
    </w:p>
    <w:p w14:paraId="76504591" w14:textId="77777777" w:rsidR="00B5629F" w:rsidRPr="006D07C0" w:rsidRDefault="00B5629F" w:rsidP="00612D42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Positive findings in prospective studies may establish 25(OH)D as an important and modifiable risk factor for ICU mortality</w:t>
      </w:r>
    </w:p>
    <w:p w14:paraId="5456AC82" w14:textId="77777777" w:rsidR="006D07C0" w:rsidRPr="006D07C0" w:rsidRDefault="006D07C0" w:rsidP="006D07C0">
      <w:pPr>
        <w:pBdr>
          <w:bottom w:val="single" w:sz="6" w:space="1" w:color="auto"/>
        </w:pBdr>
        <w:rPr>
          <w:rFonts w:asciiTheme="majorBidi" w:hAnsiTheme="majorBidi" w:cstheme="majorBidi"/>
        </w:rPr>
      </w:pPr>
    </w:p>
    <w:p w14:paraId="753945BA" w14:textId="77777777" w:rsidR="006D07C0" w:rsidRDefault="006D07C0">
      <w:pPr>
        <w:rPr>
          <w:rFonts w:asciiTheme="majorBidi" w:hAnsiTheme="majorBidi" w:cstheme="majorBidi"/>
        </w:rPr>
      </w:pPr>
    </w:p>
    <w:p w14:paraId="7D3AB025" w14:textId="77777777" w:rsidR="006D07C0" w:rsidRPr="006D07C0" w:rsidRDefault="006D07C0">
      <w:pPr>
        <w:rPr>
          <w:rFonts w:asciiTheme="majorBidi" w:hAnsiTheme="majorBidi" w:cstheme="majorBidi"/>
        </w:rPr>
      </w:pPr>
    </w:p>
    <w:p w14:paraId="715E3DDB" w14:textId="77777777" w:rsidR="006D07C0" w:rsidRPr="006D07C0" w:rsidRDefault="006D07C0" w:rsidP="006D07C0">
      <w:p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  <w:b/>
          <w:bCs/>
        </w:rPr>
        <w:t>Background</w:t>
      </w:r>
    </w:p>
    <w:p w14:paraId="4777E0FC" w14:textId="77777777" w:rsidR="006D07C0" w:rsidRPr="006D07C0" w:rsidRDefault="006D07C0" w:rsidP="006D07C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Vitamin D (cholecalciferol) is primarily a product of ultraviolet light conversion of 7-dehydrocholesterol in the skin</w:t>
      </w:r>
    </w:p>
    <w:p w14:paraId="5CFF0913" w14:textId="77777777" w:rsidR="006D07C0" w:rsidRPr="006D07C0" w:rsidRDefault="006D07C0" w:rsidP="006D07C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Vitamin D also from food intake, such as eggs, fish, butter, fortified milk products, and supplements</w:t>
      </w:r>
    </w:p>
    <w:p w14:paraId="3F0BFC76" w14:textId="77777777" w:rsidR="006D07C0" w:rsidRPr="006D07C0" w:rsidRDefault="006D07C0" w:rsidP="006D07C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Role of Vitamin D</w:t>
      </w:r>
    </w:p>
    <w:p w14:paraId="49E11D8C" w14:textId="5EBB1FC9" w:rsidR="006D07C0" w:rsidRPr="006D07C0" w:rsidRDefault="006D07C0" w:rsidP="006D07C0">
      <w:pPr>
        <w:pStyle w:val="ListParagraph"/>
        <w:numPr>
          <w:ilvl w:val="1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Pleiotropic effects on immunity, endothelial and muc</w:t>
      </w:r>
      <w:r>
        <w:rPr>
          <w:rFonts w:asciiTheme="majorBidi" w:hAnsiTheme="majorBidi" w:cstheme="majorBidi"/>
        </w:rPr>
        <w:t xml:space="preserve">osal functions, glucose and </w:t>
      </w:r>
      <w:r w:rsidRPr="006D07C0">
        <w:rPr>
          <w:rFonts w:asciiTheme="majorBidi" w:hAnsiTheme="majorBidi" w:cstheme="majorBidi"/>
        </w:rPr>
        <w:t>calcium metabolism</w:t>
      </w:r>
    </w:p>
    <w:p w14:paraId="5C37662A" w14:textId="77777777" w:rsidR="006D07C0" w:rsidRPr="006D07C0" w:rsidRDefault="006D07C0" w:rsidP="006D07C0">
      <w:pPr>
        <w:pStyle w:val="ListParagraph"/>
        <w:numPr>
          <w:ilvl w:val="1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Primarily has inhibitory effects on the adaptive immune response</w:t>
      </w:r>
    </w:p>
    <w:p w14:paraId="54573F16" w14:textId="77777777" w:rsidR="006D07C0" w:rsidRPr="006D07C0" w:rsidRDefault="006D07C0" w:rsidP="006D07C0">
      <w:pPr>
        <w:pStyle w:val="ListParagraph"/>
        <w:numPr>
          <w:ilvl w:val="1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Also has stimulatory effects on innate immune cells </w:t>
      </w:r>
    </w:p>
    <w:p w14:paraId="321C0310" w14:textId="77777777" w:rsidR="006D07C0" w:rsidRPr="006D07C0" w:rsidRDefault="006D07C0" w:rsidP="006D07C0">
      <w:pPr>
        <w:pStyle w:val="ListParagraph"/>
        <w:numPr>
          <w:ilvl w:val="1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Key link between Toll Like Receptor (TLR) activation and antibacterial responses in innate immunity</w:t>
      </w:r>
    </w:p>
    <w:p w14:paraId="77AE4F01" w14:textId="77777777" w:rsidR="006D07C0" w:rsidRPr="006D07C0" w:rsidRDefault="006D07C0" w:rsidP="006D07C0">
      <w:pPr>
        <w:pStyle w:val="ListParagraph"/>
        <w:numPr>
          <w:ilvl w:val="2"/>
          <w:numId w:val="5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TLR stimulation of human macrophages induces conversion of 25(OH)D to active 1,25(OH)2D; expression of the vitamin D receptor; and, production of </w:t>
      </w:r>
      <w:proofErr w:type="spellStart"/>
      <w:r w:rsidRPr="006D07C0">
        <w:rPr>
          <w:rFonts w:asciiTheme="majorBidi" w:hAnsiTheme="majorBidi" w:cstheme="majorBidi"/>
        </w:rPr>
        <w:t>cathelicidin</w:t>
      </w:r>
      <w:proofErr w:type="spellEnd"/>
      <w:r w:rsidRPr="006D07C0">
        <w:rPr>
          <w:rFonts w:asciiTheme="majorBidi" w:hAnsiTheme="majorBidi" w:cstheme="majorBidi"/>
        </w:rPr>
        <w:t xml:space="preserve"> a downstream target of the vitamin D receptor capable of promoting innate immunity</w:t>
      </w:r>
    </w:p>
    <w:p w14:paraId="7519E387" w14:textId="77777777" w:rsidR="006D07C0" w:rsidRPr="006D07C0" w:rsidRDefault="006D07C0">
      <w:pPr>
        <w:rPr>
          <w:rFonts w:asciiTheme="majorBidi" w:hAnsiTheme="majorBidi" w:cstheme="majorBidi"/>
        </w:rPr>
      </w:pPr>
    </w:p>
    <w:p w14:paraId="0131847F" w14:textId="77777777" w:rsidR="00612D42" w:rsidRPr="006D07C0" w:rsidRDefault="00746641" w:rsidP="00746641">
      <w:p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  <w:b/>
          <w:bCs/>
        </w:rPr>
        <w:t>Objective</w:t>
      </w:r>
    </w:p>
    <w:p w14:paraId="63B4AEF0" w14:textId="77777777" w:rsidR="00746641" w:rsidRPr="006D07C0" w:rsidRDefault="00746641" w:rsidP="00612D4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The aim of this study is to determine the relationship between pre-admission 25(OH)D deficiency and mo</w:t>
      </w:r>
      <w:r w:rsidR="00612D42" w:rsidRPr="006D07C0">
        <w:rPr>
          <w:rFonts w:asciiTheme="majorBidi" w:hAnsiTheme="majorBidi" w:cstheme="majorBidi"/>
        </w:rPr>
        <w:t>rtality following ICU admission</w:t>
      </w:r>
    </w:p>
    <w:p w14:paraId="706EFBAB" w14:textId="77777777" w:rsidR="006D07C0" w:rsidRPr="006D07C0" w:rsidRDefault="006D07C0">
      <w:pPr>
        <w:rPr>
          <w:rFonts w:asciiTheme="majorBidi" w:hAnsiTheme="majorBidi" w:cstheme="majorBidi"/>
        </w:rPr>
      </w:pPr>
    </w:p>
    <w:p w14:paraId="3B02AA98" w14:textId="77777777" w:rsidR="00746641" w:rsidRPr="006D07C0" w:rsidRDefault="00612D42" w:rsidP="00746641">
      <w:p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  <w:b/>
          <w:bCs/>
        </w:rPr>
        <w:t>Methods</w:t>
      </w:r>
    </w:p>
    <w:p w14:paraId="70574C0D" w14:textId="77777777" w:rsidR="00612D42" w:rsidRPr="006D07C0" w:rsidRDefault="00070409" w:rsidP="00612D4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proofErr w:type="gramStart"/>
      <w:r w:rsidRPr="006D07C0">
        <w:rPr>
          <w:rFonts w:asciiTheme="majorBidi" w:hAnsiTheme="majorBidi" w:cstheme="majorBidi"/>
        </w:rPr>
        <w:t>11 year</w:t>
      </w:r>
      <w:proofErr w:type="gramEnd"/>
      <w:r w:rsidRPr="006D07C0">
        <w:rPr>
          <w:rFonts w:asciiTheme="majorBidi" w:hAnsiTheme="majorBidi" w:cstheme="majorBidi"/>
        </w:rPr>
        <w:t xml:space="preserve"> multicenter observational study</w:t>
      </w:r>
      <w:r w:rsidR="00746641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of critically ill patients </w:t>
      </w:r>
      <w:r w:rsidR="00746641" w:rsidRPr="006D07C0">
        <w:rPr>
          <w:rFonts w:asciiTheme="majorBidi" w:hAnsiTheme="majorBidi" w:cstheme="majorBidi"/>
        </w:rPr>
        <w:t xml:space="preserve"> </w:t>
      </w:r>
    </w:p>
    <w:p w14:paraId="600D8FD3" w14:textId="77777777" w:rsidR="00746641" w:rsidRPr="006D07C0" w:rsidRDefault="00070409" w:rsidP="00612D4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25(OH)D was measured within one year prior to</w:t>
      </w:r>
      <w:r w:rsidR="00746641" w:rsidRPr="006D07C0">
        <w:rPr>
          <w:rFonts w:asciiTheme="majorBidi" w:hAnsiTheme="majorBidi" w:cstheme="majorBidi"/>
        </w:rPr>
        <w:t xml:space="preserve"> hospitalization</w:t>
      </w:r>
    </w:p>
    <w:p w14:paraId="03536A4C" w14:textId="77777777" w:rsidR="00FA24C0" w:rsidRPr="006D07C0" w:rsidRDefault="00FA24C0" w:rsidP="00FA24C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2399 patients </w:t>
      </w:r>
    </w:p>
    <w:p w14:paraId="32219484" w14:textId="77777777" w:rsidR="00FA24C0" w:rsidRPr="006D07C0" w:rsidRDefault="00D34B0E" w:rsidP="00FA24C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</w:t>
      </w:r>
      <w:r w:rsidR="00A20F98" w:rsidRPr="006D07C0">
        <w:rPr>
          <w:rFonts w:asciiTheme="majorBidi" w:hAnsiTheme="majorBidi" w:cstheme="majorBidi"/>
        </w:rPr>
        <w:t>re-admission 25(OH)D categorized a</w:t>
      </w:r>
      <w:r w:rsidR="00FA24C0" w:rsidRPr="006D07C0">
        <w:rPr>
          <w:rFonts w:asciiTheme="majorBidi" w:hAnsiTheme="majorBidi" w:cstheme="majorBidi"/>
        </w:rPr>
        <w:t>s</w:t>
      </w:r>
    </w:p>
    <w:p w14:paraId="4D4B5A8E" w14:textId="77777777" w:rsidR="00FA24C0" w:rsidRPr="006D07C0" w:rsidRDefault="00FA24C0" w:rsidP="00FA24C0">
      <w:pPr>
        <w:pStyle w:val="ListParagraph"/>
        <w:numPr>
          <w:ilvl w:val="1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D</w:t>
      </w:r>
      <w:r w:rsidR="00A20F98" w:rsidRPr="006D07C0">
        <w:rPr>
          <w:rFonts w:asciiTheme="majorBidi" w:hAnsiTheme="majorBidi" w:cstheme="majorBidi"/>
        </w:rPr>
        <w:t>eficiency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>(25(OH)D ≤15 ng/mL)</w:t>
      </w:r>
    </w:p>
    <w:p w14:paraId="5EDDD8D1" w14:textId="77777777" w:rsidR="00FA24C0" w:rsidRPr="006D07C0" w:rsidRDefault="00FA24C0" w:rsidP="00FA24C0">
      <w:pPr>
        <w:pStyle w:val="ListParagraph"/>
        <w:numPr>
          <w:ilvl w:val="1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I</w:t>
      </w:r>
      <w:r w:rsidR="00A20F98" w:rsidRPr="006D07C0">
        <w:rPr>
          <w:rFonts w:asciiTheme="majorBidi" w:hAnsiTheme="majorBidi" w:cstheme="majorBidi"/>
        </w:rPr>
        <w:t>nsufficiency (25(OH)D 16–2</w:t>
      </w:r>
      <w:r w:rsidRPr="006D07C0">
        <w:rPr>
          <w:rFonts w:asciiTheme="majorBidi" w:hAnsiTheme="majorBidi" w:cstheme="majorBidi"/>
        </w:rPr>
        <w:t xml:space="preserve">9 ng/mL) </w:t>
      </w:r>
    </w:p>
    <w:p w14:paraId="7FD3C4F4" w14:textId="77777777" w:rsidR="00A20F98" w:rsidRPr="006D07C0" w:rsidRDefault="00FA24C0" w:rsidP="00FA24C0">
      <w:pPr>
        <w:pStyle w:val="ListParagraph"/>
        <w:numPr>
          <w:ilvl w:val="1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S</w:t>
      </w:r>
      <w:r w:rsidR="00A20F98" w:rsidRPr="006D07C0">
        <w:rPr>
          <w:rFonts w:asciiTheme="majorBidi" w:hAnsiTheme="majorBidi" w:cstheme="majorBidi"/>
        </w:rPr>
        <w:t>ufficiency (25(OH)D ≥</w:t>
      </w:r>
      <w:r w:rsidR="00D34B0E" w:rsidRPr="006D07C0">
        <w:rPr>
          <w:rFonts w:asciiTheme="majorBidi" w:hAnsiTheme="majorBidi" w:cstheme="majorBidi"/>
        </w:rPr>
        <w:t xml:space="preserve"> 30 ng/mL)</w:t>
      </w:r>
    </w:p>
    <w:p w14:paraId="7A37CE95" w14:textId="77777777" w:rsidR="00FA24C0" w:rsidRPr="006D07C0" w:rsidRDefault="00D34B0E" w:rsidP="00FA24C0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B</w:t>
      </w:r>
      <w:r w:rsidR="00144AD6" w:rsidRPr="006D07C0">
        <w:rPr>
          <w:rFonts w:asciiTheme="majorBidi" w:hAnsiTheme="majorBidi" w:cstheme="majorBidi"/>
        </w:rPr>
        <w:t>lood cultures</w:t>
      </w:r>
      <w:r w:rsidR="00FA24C0" w:rsidRPr="006D07C0">
        <w:rPr>
          <w:rFonts w:asciiTheme="majorBidi" w:hAnsiTheme="majorBidi" w:cstheme="majorBidi"/>
        </w:rPr>
        <w:t xml:space="preserve"> were</w:t>
      </w:r>
      <w:r w:rsidR="00144AD6" w:rsidRPr="006D07C0">
        <w:rPr>
          <w:rFonts w:asciiTheme="majorBidi" w:hAnsiTheme="majorBidi" w:cstheme="majorBidi"/>
        </w:rPr>
        <w:t xml:space="preserve"> drawn 48 hours prior or </w:t>
      </w:r>
      <w:proofErr w:type="gramStart"/>
      <w:r w:rsidR="00144AD6" w:rsidRPr="006D07C0">
        <w:rPr>
          <w:rFonts w:asciiTheme="majorBidi" w:hAnsiTheme="majorBidi" w:cstheme="majorBidi"/>
        </w:rPr>
        <w:t>subsequent to</w:t>
      </w:r>
      <w:proofErr w:type="gramEnd"/>
      <w:r w:rsidR="00144AD6" w:rsidRPr="006D07C0">
        <w:rPr>
          <w:rFonts w:asciiTheme="majorBidi" w:hAnsiTheme="majorBidi" w:cstheme="majorBidi"/>
        </w:rPr>
        <w:t xml:space="preserve"> an ICU admission</w:t>
      </w:r>
    </w:p>
    <w:p w14:paraId="49FD1367" w14:textId="77777777" w:rsidR="00144AD6" w:rsidRPr="006D07C0" w:rsidRDefault="00FA24C0" w:rsidP="00FA24C0">
      <w:pPr>
        <w:pStyle w:val="ListParagraph"/>
        <w:numPr>
          <w:ilvl w:val="1"/>
          <w:numId w:val="2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</w:t>
      </w:r>
      <w:r w:rsidR="00144AD6" w:rsidRPr="006D07C0">
        <w:rPr>
          <w:rFonts w:asciiTheme="majorBidi" w:hAnsiTheme="majorBidi" w:cstheme="majorBidi"/>
        </w:rPr>
        <w:t xml:space="preserve">ositive if aerobic, anaerobic or </w:t>
      </w:r>
      <w:r w:rsidRPr="006D07C0">
        <w:rPr>
          <w:rFonts w:asciiTheme="majorBidi" w:hAnsiTheme="majorBidi" w:cstheme="majorBidi"/>
        </w:rPr>
        <w:t xml:space="preserve">if </w:t>
      </w:r>
      <w:r w:rsidR="00144AD6" w:rsidRPr="006D07C0">
        <w:rPr>
          <w:rFonts w:asciiTheme="majorBidi" w:hAnsiTheme="majorBidi" w:cstheme="majorBidi"/>
        </w:rPr>
        <w:t>fungal blood</w:t>
      </w:r>
      <w:r w:rsidR="00D34B0E" w:rsidRPr="006D07C0">
        <w:rPr>
          <w:rFonts w:asciiTheme="majorBidi" w:hAnsiTheme="majorBidi" w:cstheme="majorBidi"/>
        </w:rPr>
        <w:t xml:space="preserve"> </w:t>
      </w:r>
      <w:r w:rsidR="00144AD6" w:rsidRPr="006D07C0">
        <w:rPr>
          <w:rFonts w:asciiTheme="majorBidi" w:hAnsiTheme="majorBidi" w:cstheme="majorBidi"/>
        </w:rPr>
        <w:t>cultures grew ide</w:t>
      </w:r>
      <w:r w:rsidR="00D34B0E" w:rsidRPr="006D07C0">
        <w:rPr>
          <w:rFonts w:asciiTheme="majorBidi" w:hAnsiTheme="majorBidi" w:cstheme="majorBidi"/>
        </w:rPr>
        <w:t>ntifiable organisms</w:t>
      </w:r>
    </w:p>
    <w:p w14:paraId="6CB9C581" w14:textId="77777777" w:rsidR="006D07C0" w:rsidRPr="006D07C0" w:rsidRDefault="006D07C0">
      <w:pPr>
        <w:rPr>
          <w:rFonts w:asciiTheme="majorBidi" w:hAnsiTheme="majorBidi" w:cstheme="majorBidi"/>
        </w:rPr>
      </w:pPr>
    </w:p>
    <w:p w14:paraId="441ED7F1" w14:textId="77777777" w:rsidR="00FA24C0" w:rsidRPr="006D07C0" w:rsidRDefault="00FA24C0" w:rsidP="00052993">
      <w:pPr>
        <w:rPr>
          <w:rFonts w:asciiTheme="majorBidi" w:hAnsiTheme="majorBidi" w:cstheme="majorBidi"/>
          <w:b/>
          <w:bCs/>
        </w:rPr>
      </w:pPr>
      <w:r w:rsidRPr="006D07C0">
        <w:rPr>
          <w:rFonts w:asciiTheme="majorBidi" w:hAnsiTheme="majorBidi" w:cstheme="majorBidi"/>
          <w:b/>
          <w:bCs/>
        </w:rPr>
        <w:t xml:space="preserve">The primary </w:t>
      </w:r>
      <w:proofErr w:type="gramStart"/>
      <w:r w:rsidRPr="006D07C0">
        <w:rPr>
          <w:rFonts w:asciiTheme="majorBidi" w:hAnsiTheme="majorBidi" w:cstheme="majorBidi"/>
          <w:b/>
          <w:bCs/>
        </w:rPr>
        <w:t>end point</w:t>
      </w:r>
      <w:proofErr w:type="gramEnd"/>
    </w:p>
    <w:p w14:paraId="6E4F031A" w14:textId="77777777" w:rsidR="00D34B0E" w:rsidRPr="006D07C0" w:rsidRDefault="00052993" w:rsidP="00FA24C0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proofErr w:type="gramStart"/>
      <w:r w:rsidRPr="006D07C0">
        <w:rPr>
          <w:rFonts w:asciiTheme="majorBidi" w:hAnsiTheme="majorBidi" w:cstheme="majorBidi"/>
        </w:rPr>
        <w:t>30 day</w:t>
      </w:r>
      <w:proofErr w:type="gramEnd"/>
      <w:r w:rsidRPr="006D07C0">
        <w:rPr>
          <w:rFonts w:asciiTheme="majorBidi" w:hAnsiTheme="majorBidi" w:cstheme="majorBidi"/>
        </w:rPr>
        <w:t xml:space="preserve"> mor</w:t>
      </w:r>
      <w:r w:rsidR="00D34B0E" w:rsidRPr="006D07C0">
        <w:rPr>
          <w:rFonts w:asciiTheme="majorBidi" w:hAnsiTheme="majorBidi" w:cstheme="majorBidi"/>
        </w:rPr>
        <w:t>tality following ICU admission</w:t>
      </w:r>
    </w:p>
    <w:p w14:paraId="6836F261" w14:textId="77777777" w:rsidR="00FA24C0" w:rsidRPr="006D07C0" w:rsidRDefault="00FA24C0" w:rsidP="00D34B0E">
      <w:pPr>
        <w:rPr>
          <w:rFonts w:asciiTheme="majorBidi" w:hAnsiTheme="majorBidi" w:cstheme="majorBidi"/>
        </w:rPr>
      </w:pPr>
    </w:p>
    <w:p w14:paraId="1EFD6FD9" w14:textId="77777777" w:rsidR="00FA24C0" w:rsidRPr="006D07C0" w:rsidRDefault="00FA24C0" w:rsidP="00FA24C0">
      <w:pPr>
        <w:rPr>
          <w:rFonts w:asciiTheme="majorBidi" w:hAnsiTheme="majorBidi" w:cstheme="majorBidi"/>
          <w:b/>
          <w:bCs/>
        </w:rPr>
      </w:pPr>
      <w:r w:rsidRPr="006D07C0">
        <w:rPr>
          <w:rFonts w:asciiTheme="majorBidi" w:hAnsiTheme="majorBidi" w:cstheme="majorBidi"/>
          <w:b/>
          <w:bCs/>
        </w:rPr>
        <w:t>Secondary end points</w:t>
      </w:r>
    </w:p>
    <w:p w14:paraId="7BB88DED" w14:textId="77777777" w:rsidR="00FA24C0" w:rsidRPr="006D07C0" w:rsidRDefault="00FA24C0" w:rsidP="00FA24C0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proofErr w:type="gramStart"/>
      <w:r w:rsidRPr="006D07C0">
        <w:rPr>
          <w:rFonts w:asciiTheme="majorBidi" w:hAnsiTheme="majorBidi" w:cstheme="majorBidi"/>
        </w:rPr>
        <w:t>90 day</w:t>
      </w:r>
      <w:proofErr w:type="gramEnd"/>
      <w:r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>mortality</w:t>
      </w:r>
    </w:p>
    <w:p w14:paraId="7229C2D8" w14:textId="77777777" w:rsidR="00FA24C0" w:rsidRPr="006D07C0" w:rsidRDefault="00052993" w:rsidP="00FA24C0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proofErr w:type="gramStart"/>
      <w:r w:rsidRPr="006D07C0">
        <w:rPr>
          <w:rFonts w:asciiTheme="majorBidi" w:hAnsiTheme="majorBidi" w:cstheme="majorBidi"/>
        </w:rPr>
        <w:t>365 day</w:t>
      </w:r>
      <w:proofErr w:type="gramEnd"/>
      <w:r w:rsidR="00FA24C0" w:rsidRPr="006D07C0">
        <w:rPr>
          <w:rFonts w:asciiTheme="majorBidi" w:hAnsiTheme="majorBidi" w:cstheme="majorBidi"/>
        </w:rPr>
        <w:t xml:space="preserve"> </w:t>
      </w:r>
      <w:r w:rsidR="00FA24C0" w:rsidRPr="006D07C0">
        <w:rPr>
          <w:rFonts w:asciiTheme="majorBidi" w:hAnsiTheme="majorBidi" w:cstheme="majorBidi"/>
        </w:rPr>
        <w:t xml:space="preserve">mortality </w:t>
      </w:r>
    </w:p>
    <w:p w14:paraId="2DDAE5C4" w14:textId="7BDFFA5C" w:rsidR="006D07C0" w:rsidRPr="006D07C0" w:rsidRDefault="00FA24C0" w:rsidP="006D07C0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In-hospital morality</w:t>
      </w:r>
      <w:bookmarkStart w:id="0" w:name="_GoBack"/>
      <w:bookmarkEnd w:id="0"/>
    </w:p>
    <w:p w14:paraId="31B18EDF" w14:textId="77777777" w:rsidR="00052993" w:rsidRPr="006D07C0" w:rsidRDefault="004723A8" w:rsidP="00D34B0E">
      <w:p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  <w:b/>
          <w:bCs/>
        </w:rPr>
        <w:lastRenderedPageBreak/>
        <w:t>Results</w:t>
      </w:r>
    </w:p>
    <w:p w14:paraId="03C2D0F7" w14:textId="77777777" w:rsidR="0033427C" w:rsidRPr="006D07C0" w:rsidRDefault="004723A8" w:rsidP="004723A8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S</w:t>
      </w:r>
      <w:r w:rsidR="009A37FC" w:rsidRPr="006D07C0">
        <w:rPr>
          <w:rFonts w:asciiTheme="majorBidi" w:hAnsiTheme="majorBidi" w:cstheme="majorBidi"/>
        </w:rPr>
        <w:t>tudy cohort is an older predominately female group w</w:t>
      </w:r>
      <w:r w:rsidRPr="006D07C0">
        <w:rPr>
          <w:rFonts w:asciiTheme="majorBidi" w:hAnsiTheme="majorBidi" w:cstheme="majorBidi"/>
        </w:rPr>
        <w:t xml:space="preserve">ith higher disease comorbidity, </w:t>
      </w:r>
      <w:r w:rsidR="009A37FC" w:rsidRPr="006D07C0">
        <w:rPr>
          <w:rFonts w:asciiTheme="majorBidi" w:hAnsiTheme="majorBidi" w:cstheme="majorBidi"/>
        </w:rPr>
        <w:t>more</w:t>
      </w:r>
      <w:r w:rsidR="00D34B0E" w:rsidRPr="006D07C0">
        <w:rPr>
          <w:rFonts w:asciiTheme="majorBidi" w:hAnsiTheme="majorBidi" w:cstheme="majorBidi"/>
        </w:rPr>
        <w:t xml:space="preserve"> sepsis, </w:t>
      </w:r>
      <w:r w:rsidR="009A37FC" w:rsidRPr="006D07C0">
        <w:rPr>
          <w:rFonts w:asciiTheme="majorBidi" w:hAnsiTheme="majorBidi" w:cstheme="majorBidi"/>
        </w:rPr>
        <w:t>less organ failure, less blood culture positivity and a higher</w:t>
      </w:r>
      <w:r w:rsidR="00D34B0E" w:rsidRPr="006D07C0">
        <w:rPr>
          <w:rFonts w:asciiTheme="majorBidi" w:hAnsiTheme="majorBidi" w:cstheme="majorBidi"/>
        </w:rPr>
        <w:t xml:space="preserve"> </w:t>
      </w:r>
      <w:r w:rsidR="009A37FC" w:rsidRPr="006D07C0">
        <w:rPr>
          <w:rFonts w:asciiTheme="majorBidi" w:hAnsiTheme="majorBidi" w:cstheme="majorBidi"/>
        </w:rPr>
        <w:t xml:space="preserve">mortality than the total ICU population </w:t>
      </w:r>
    </w:p>
    <w:p w14:paraId="63D73FF0" w14:textId="77777777" w:rsidR="004723A8" w:rsidRPr="006D07C0" w:rsidRDefault="004723A8" w:rsidP="004723A8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Primary outcomes</w:t>
      </w:r>
    </w:p>
    <w:p w14:paraId="53BCBA78" w14:textId="77777777" w:rsidR="004723A8" w:rsidRPr="006D07C0" w:rsidRDefault="0033427C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Pre-admission 25(OH)D was a strong predictor of </w:t>
      </w:r>
      <w:proofErr w:type="spellStart"/>
      <w:r w:rsidRPr="006D07C0">
        <w:rPr>
          <w:rFonts w:asciiTheme="majorBidi" w:hAnsiTheme="majorBidi" w:cstheme="majorBidi"/>
        </w:rPr>
        <w:t>all cause</w:t>
      </w:r>
      <w:proofErr w:type="spellEnd"/>
      <w:r w:rsidRPr="006D07C0">
        <w:rPr>
          <w:rFonts w:asciiTheme="majorBidi" w:hAnsiTheme="majorBidi" w:cstheme="majorBidi"/>
        </w:rPr>
        <w:t xml:space="preserve"> mortality with a significant risk</w:t>
      </w:r>
      <w:r w:rsidR="00D34B0E" w:rsidRPr="006D07C0">
        <w:rPr>
          <w:rFonts w:asciiTheme="majorBidi" w:hAnsiTheme="majorBidi" w:cstheme="majorBidi"/>
        </w:rPr>
        <w:t xml:space="preserve"> g</w:t>
      </w:r>
      <w:r w:rsidRPr="006D07C0">
        <w:rPr>
          <w:rFonts w:asciiTheme="majorBidi" w:hAnsiTheme="majorBidi" w:cstheme="majorBidi"/>
        </w:rPr>
        <w:t xml:space="preserve">radient across 25(OH)D groups </w:t>
      </w:r>
    </w:p>
    <w:p w14:paraId="0A4A7719" w14:textId="77777777" w:rsidR="0033427C" w:rsidRPr="006D07C0" w:rsidRDefault="0033427C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The risk of mortality 30 days following ICU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admission was </w:t>
      </w:r>
      <w:r w:rsidRPr="006D07C0">
        <w:rPr>
          <w:rFonts w:asciiTheme="majorBidi" w:hAnsiTheme="majorBidi" w:cstheme="majorBidi"/>
          <w:b/>
          <w:bCs/>
        </w:rPr>
        <w:t>1.3-</w:t>
      </w:r>
      <w:r w:rsidRPr="006D07C0">
        <w:rPr>
          <w:rFonts w:asciiTheme="majorBidi" w:hAnsiTheme="majorBidi" w:cstheme="majorBidi"/>
        </w:rPr>
        <w:t xml:space="preserve"> and </w:t>
      </w:r>
      <w:r w:rsidRPr="006D07C0">
        <w:rPr>
          <w:rFonts w:asciiTheme="majorBidi" w:hAnsiTheme="majorBidi" w:cstheme="majorBidi"/>
          <w:b/>
          <w:bCs/>
        </w:rPr>
        <w:t>1.7-fold higher</w:t>
      </w:r>
      <w:r w:rsidRPr="006D07C0">
        <w:rPr>
          <w:rFonts w:asciiTheme="majorBidi" w:hAnsiTheme="majorBidi" w:cstheme="majorBidi"/>
        </w:rPr>
        <w:t xml:space="preserve"> in patients with 25(OH)D values in the </w:t>
      </w:r>
      <w:r w:rsidRPr="006D07C0">
        <w:rPr>
          <w:rFonts w:asciiTheme="majorBidi" w:hAnsiTheme="majorBidi" w:cstheme="majorBidi"/>
          <w:b/>
          <w:bCs/>
        </w:rPr>
        <w:t>insufficient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and </w:t>
      </w:r>
      <w:r w:rsidRPr="006D07C0">
        <w:rPr>
          <w:rFonts w:asciiTheme="majorBidi" w:hAnsiTheme="majorBidi" w:cstheme="majorBidi"/>
          <w:b/>
          <w:bCs/>
        </w:rPr>
        <w:t>deficient</w:t>
      </w:r>
      <w:r w:rsidRPr="006D07C0">
        <w:rPr>
          <w:rFonts w:asciiTheme="majorBidi" w:hAnsiTheme="majorBidi" w:cstheme="majorBidi"/>
        </w:rPr>
        <w:t xml:space="preserve"> groups, respectively, compared with those with vitamin D </w:t>
      </w:r>
      <w:r w:rsidRPr="006D07C0">
        <w:rPr>
          <w:rFonts w:asciiTheme="majorBidi" w:hAnsiTheme="majorBidi" w:cstheme="majorBidi"/>
          <w:b/>
          <w:bCs/>
        </w:rPr>
        <w:t>sufficiency</w:t>
      </w:r>
    </w:p>
    <w:p w14:paraId="65C7A3F7" w14:textId="77777777" w:rsidR="00503358" w:rsidRPr="006D07C0" w:rsidRDefault="004723A8" w:rsidP="004723A8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Secondary outcomes</w:t>
      </w:r>
    </w:p>
    <w:p w14:paraId="36EA292D" w14:textId="77777777" w:rsidR="004723A8" w:rsidRPr="006D07C0" w:rsidRDefault="00503358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The risk of mortality </w:t>
      </w:r>
      <w:r w:rsidRPr="006D07C0">
        <w:rPr>
          <w:rFonts w:asciiTheme="majorBidi" w:hAnsiTheme="majorBidi" w:cstheme="majorBidi"/>
          <w:u w:val="single"/>
        </w:rPr>
        <w:t>90 days following ICU admission</w:t>
      </w:r>
      <w:r w:rsidRPr="006D07C0">
        <w:rPr>
          <w:rFonts w:asciiTheme="majorBidi" w:hAnsiTheme="majorBidi" w:cstheme="majorBidi"/>
        </w:rPr>
        <w:t xml:space="preserve"> was </w:t>
      </w:r>
      <w:r w:rsidRPr="006D07C0">
        <w:rPr>
          <w:rFonts w:asciiTheme="majorBidi" w:hAnsiTheme="majorBidi" w:cstheme="majorBidi"/>
          <w:b/>
          <w:bCs/>
        </w:rPr>
        <w:t>1.4</w:t>
      </w:r>
      <w:r w:rsidRPr="006D07C0">
        <w:rPr>
          <w:rFonts w:asciiTheme="majorBidi" w:hAnsiTheme="majorBidi" w:cstheme="majorBidi"/>
        </w:rPr>
        <w:t>- and 1</w:t>
      </w:r>
      <w:r w:rsidRPr="006D07C0">
        <w:rPr>
          <w:rFonts w:asciiTheme="majorBidi" w:hAnsiTheme="majorBidi" w:cstheme="majorBidi"/>
          <w:b/>
          <w:bCs/>
        </w:rPr>
        <w:t>.6-fold higher</w:t>
      </w:r>
      <w:r w:rsidRPr="006D07C0">
        <w:rPr>
          <w:rFonts w:asciiTheme="majorBidi" w:hAnsiTheme="majorBidi" w:cstheme="majorBidi"/>
        </w:rPr>
        <w:t xml:space="preserve"> in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patients with 25(OH)D values in the </w:t>
      </w:r>
      <w:r w:rsidRPr="006D07C0">
        <w:rPr>
          <w:rFonts w:asciiTheme="majorBidi" w:hAnsiTheme="majorBidi" w:cstheme="majorBidi"/>
          <w:b/>
          <w:bCs/>
        </w:rPr>
        <w:t>insufficient</w:t>
      </w:r>
      <w:r w:rsidRPr="006D07C0">
        <w:rPr>
          <w:rFonts w:asciiTheme="majorBidi" w:hAnsiTheme="majorBidi" w:cstheme="majorBidi"/>
        </w:rPr>
        <w:t xml:space="preserve"> and </w:t>
      </w:r>
      <w:r w:rsidRPr="006D07C0">
        <w:rPr>
          <w:rFonts w:asciiTheme="majorBidi" w:hAnsiTheme="majorBidi" w:cstheme="majorBidi"/>
          <w:b/>
          <w:bCs/>
        </w:rPr>
        <w:t>deficient</w:t>
      </w:r>
      <w:r w:rsidRPr="006D07C0">
        <w:rPr>
          <w:rFonts w:asciiTheme="majorBidi" w:hAnsiTheme="majorBidi" w:cstheme="majorBidi"/>
        </w:rPr>
        <w:t xml:space="preserve"> groups, respectively,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compared with those with vitamin D </w:t>
      </w:r>
      <w:r w:rsidRPr="006D07C0">
        <w:rPr>
          <w:rFonts w:asciiTheme="majorBidi" w:hAnsiTheme="majorBidi" w:cstheme="majorBidi"/>
          <w:b/>
          <w:bCs/>
        </w:rPr>
        <w:t>sufficiency</w:t>
      </w:r>
    </w:p>
    <w:p w14:paraId="503A7325" w14:textId="77777777" w:rsidR="004723A8" w:rsidRPr="006D07C0" w:rsidRDefault="004723A8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R</w:t>
      </w:r>
      <w:r w:rsidR="00503358" w:rsidRPr="006D07C0">
        <w:rPr>
          <w:rFonts w:asciiTheme="majorBidi" w:hAnsiTheme="majorBidi" w:cstheme="majorBidi"/>
        </w:rPr>
        <w:t xml:space="preserve">isk of mortality </w:t>
      </w:r>
      <w:r w:rsidR="00503358" w:rsidRPr="006D07C0">
        <w:rPr>
          <w:rFonts w:asciiTheme="majorBidi" w:hAnsiTheme="majorBidi" w:cstheme="majorBidi"/>
          <w:u w:val="single"/>
        </w:rPr>
        <w:t>365 days following ICU admission</w:t>
      </w:r>
      <w:r w:rsidR="00503358" w:rsidRPr="006D07C0">
        <w:rPr>
          <w:rFonts w:asciiTheme="majorBidi" w:hAnsiTheme="majorBidi" w:cstheme="majorBidi"/>
        </w:rPr>
        <w:t xml:space="preserve"> was </w:t>
      </w:r>
      <w:r w:rsidR="00503358" w:rsidRPr="006D07C0">
        <w:rPr>
          <w:rFonts w:asciiTheme="majorBidi" w:hAnsiTheme="majorBidi" w:cstheme="majorBidi"/>
          <w:b/>
          <w:bCs/>
        </w:rPr>
        <w:t>1.4</w:t>
      </w:r>
      <w:r w:rsidR="00503358" w:rsidRPr="006D07C0">
        <w:rPr>
          <w:rFonts w:asciiTheme="majorBidi" w:hAnsiTheme="majorBidi" w:cstheme="majorBidi"/>
        </w:rPr>
        <w:t xml:space="preserve">- and </w:t>
      </w:r>
      <w:r w:rsidR="00503358" w:rsidRPr="006D07C0">
        <w:rPr>
          <w:rFonts w:asciiTheme="majorBidi" w:hAnsiTheme="majorBidi" w:cstheme="majorBidi"/>
          <w:b/>
          <w:bCs/>
        </w:rPr>
        <w:t>1.6-fold higher</w:t>
      </w:r>
      <w:r w:rsidR="00503358" w:rsidRPr="006D07C0">
        <w:rPr>
          <w:rFonts w:asciiTheme="majorBidi" w:hAnsiTheme="majorBidi" w:cstheme="majorBidi"/>
        </w:rPr>
        <w:t xml:space="preserve"> in</w:t>
      </w:r>
      <w:r w:rsidR="00D34B0E" w:rsidRPr="006D07C0">
        <w:rPr>
          <w:rFonts w:asciiTheme="majorBidi" w:hAnsiTheme="majorBidi" w:cstheme="majorBidi"/>
        </w:rPr>
        <w:t xml:space="preserve"> </w:t>
      </w:r>
      <w:r w:rsidR="00503358" w:rsidRPr="006D07C0">
        <w:rPr>
          <w:rFonts w:asciiTheme="majorBidi" w:hAnsiTheme="majorBidi" w:cstheme="majorBidi"/>
        </w:rPr>
        <w:t xml:space="preserve">patients with 25(OH)D values in the </w:t>
      </w:r>
      <w:r w:rsidR="00503358" w:rsidRPr="006D07C0">
        <w:rPr>
          <w:rFonts w:asciiTheme="majorBidi" w:hAnsiTheme="majorBidi" w:cstheme="majorBidi"/>
          <w:b/>
          <w:bCs/>
        </w:rPr>
        <w:t>insufficient</w:t>
      </w:r>
      <w:r w:rsidR="00503358" w:rsidRPr="006D07C0">
        <w:rPr>
          <w:rFonts w:asciiTheme="majorBidi" w:hAnsiTheme="majorBidi" w:cstheme="majorBidi"/>
        </w:rPr>
        <w:t xml:space="preserve"> and </w:t>
      </w:r>
      <w:r w:rsidR="00503358" w:rsidRPr="006D07C0">
        <w:rPr>
          <w:rFonts w:asciiTheme="majorBidi" w:hAnsiTheme="majorBidi" w:cstheme="majorBidi"/>
          <w:b/>
          <w:bCs/>
        </w:rPr>
        <w:t>deficient</w:t>
      </w:r>
      <w:r w:rsidRPr="006D07C0">
        <w:rPr>
          <w:rFonts w:asciiTheme="majorBidi" w:hAnsiTheme="majorBidi" w:cstheme="majorBidi"/>
        </w:rPr>
        <w:t xml:space="preserve"> groups vs </w:t>
      </w:r>
      <w:r w:rsidRPr="006D07C0">
        <w:rPr>
          <w:rFonts w:asciiTheme="majorBidi" w:hAnsiTheme="majorBidi" w:cstheme="majorBidi"/>
          <w:b/>
          <w:bCs/>
        </w:rPr>
        <w:t>sufficient</w:t>
      </w:r>
      <w:r w:rsidRPr="006D07C0">
        <w:rPr>
          <w:rFonts w:asciiTheme="majorBidi" w:hAnsiTheme="majorBidi" w:cstheme="majorBidi"/>
        </w:rPr>
        <w:t xml:space="preserve"> group</w:t>
      </w:r>
    </w:p>
    <w:p w14:paraId="6D603D70" w14:textId="77777777" w:rsidR="004723A8" w:rsidRPr="006D07C0" w:rsidRDefault="00503358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 xml:space="preserve">The risk of </w:t>
      </w:r>
      <w:r w:rsidRPr="006D07C0">
        <w:rPr>
          <w:rFonts w:asciiTheme="majorBidi" w:hAnsiTheme="majorBidi" w:cstheme="majorBidi"/>
          <w:u w:val="single"/>
        </w:rPr>
        <w:t>in-hospital mortality</w:t>
      </w:r>
      <w:r w:rsidRPr="006D07C0">
        <w:rPr>
          <w:rFonts w:asciiTheme="majorBidi" w:hAnsiTheme="majorBidi" w:cstheme="majorBidi"/>
        </w:rPr>
        <w:t xml:space="preserve"> following ICU admission was </w:t>
      </w:r>
      <w:r w:rsidRPr="006D07C0">
        <w:rPr>
          <w:rFonts w:asciiTheme="majorBidi" w:hAnsiTheme="majorBidi" w:cstheme="majorBidi"/>
          <w:b/>
          <w:bCs/>
        </w:rPr>
        <w:t>1.3-</w:t>
      </w:r>
      <w:r w:rsidRPr="006D07C0">
        <w:rPr>
          <w:rFonts w:asciiTheme="majorBidi" w:hAnsiTheme="majorBidi" w:cstheme="majorBidi"/>
        </w:rPr>
        <w:t xml:space="preserve"> and </w:t>
      </w:r>
      <w:r w:rsidRPr="006D07C0">
        <w:rPr>
          <w:rFonts w:asciiTheme="majorBidi" w:hAnsiTheme="majorBidi" w:cstheme="majorBidi"/>
          <w:b/>
          <w:bCs/>
        </w:rPr>
        <w:t>1.8-fold higher</w:t>
      </w:r>
      <w:r w:rsidRPr="006D07C0">
        <w:rPr>
          <w:rFonts w:asciiTheme="majorBidi" w:hAnsiTheme="majorBidi" w:cstheme="majorBidi"/>
        </w:rPr>
        <w:t xml:space="preserve"> in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patients with 25(OH)D </w:t>
      </w:r>
      <w:r w:rsidR="004723A8" w:rsidRPr="006D07C0">
        <w:rPr>
          <w:rFonts w:asciiTheme="majorBidi" w:hAnsiTheme="majorBidi" w:cstheme="majorBidi"/>
        </w:rPr>
        <w:t xml:space="preserve">values in the </w:t>
      </w:r>
      <w:r w:rsidR="004723A8" w:rsidRPr="006D07C0">
        <w:rPr>
          <w:rFonts w:asciiTheme="majorBidi" w:hAnsiTheme="majorBidi" w:cstheme="majorBidi"/>
          <w:b/>
          <w:bCs/>
        </w:rPr>
        <w:t>insufficient</w:t>
      </w:r>
      <w:r w:rsidR="004723A8" w:rsidRPr="006D07C0">
        <w:rPr>
          <w:rFonts w:asciiTheme="majorBidi" w:hAnsiTheme="majorBidi" w:cstheme="majorBidi"/>
        </w:rPr>
        <w:t xml:space="preserve"> and </w:t>
      </w:r>
      <w:r w:rsidR="004723A8" w:rsidRPr="006D07C0">
        <w:rPr>
          <w:rFonts w:asciiTheme="majorBidi" w:hAnsiTheme="majorBidi" w:cstheme="majorBidi"/>
          <w:b/>
          <w:bCs/>
        </w:rPr>
        <w:t>deficient</w:t>
      </w:r>
      <w:r w:rsidR="004723A8" w:rsidRPr="006D07C0">
        <w:rPr>
          <w:rFonts w:asciiTheme="majorBidi" w:hAnsiTheme="majorBidi" w:cstheme="majorBidi"/>
        </w:rPr>
        <w:t xml:space="preserve"> groups vs </w:t>
      </w:r>
      <w:r w:rsidR="004723A8" w:rsidRPr="006D07C0">
        <w:rPr>
          <w:rFonts w:asciiTheme="majorBidi" w:hAnsiTheme="majorBidi" w:cstheme="majorBidi"/>
          <w:b/>
          <w:bCs/>
        </w:rPr>
        <w:t>sufficient</w:t>
      </w:r>
      <w:r w:rsidR="004723A8" w:rsidRPr="006D07C0">
        <w:rPr>
          <w:rFonts w:asciiTheme="majorBidi" w:hAnsiTheme="majorBidi" w:cstheme="majorBidi"/>
        </w:rPr>
        <w:t xml:space="preserve"> group</w:t>
      </w:r>
    </w:p>
    <w:p w14:paraId="2021DA37" w14:textId="77777777" w:rsidR="004723A8" w:rsidRPr="006D07C0" w:rsidRDefault="00D34B0E" w:rsidP="004723A8">
      <w:pPr>
        <w:pStyle w:val="ListParagraph"/>
        <w:numPr>
          <w:ilvl w:val="1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Pre</w:t>
      </w:r>
      <w:r w:rsidR="00E52ECD" w:rsidRPr="006D07C0">
        <w:rPr>
          <w:rFonts w:asciiTheme="majorBidi" w:hAnsiTheme="majorBidi" w:cstheme="majorBidi"/>
        </w:rPr>
        <w:t>-admission</w:t>
      </w:r>
      <w:r w:rsidRPr="006D07C0">
        <w:rPr>
          <w:rFonts w:asciiTheme="majorBidi" w:hAnsiTheme="majorBidi" w:cstheme="majorBidi"/>
        </w:rPr>
        <w:t xml:space="preserve"> </w:t>
      </w:r>
      <w:r w:rsidR="00E52ECD" w:rsidRPr="006D07C0">
        <w:rPr>
          <w:rFonts w:asciiTheme="majorBidi" w:hAnsiTheme="majorBidi" w:cstheme="majorBidi"/>
        </w:rPr>
        <w:t>25(OH)D deficiency was associated with increased ri</w:t>
      </w:r>
      <w:r w:rsidR="004723A8" w:rsidRPr="006D07C0">
        <w:rPr>
          <w:rFonts w:asciiTheme="majorBidi" w:hAnsiTheme="majorBidi" w:cstheme="majorBidi"/>
        </w:rPr>
        <w:t>sk of blood culture positivity</w:t>
      </w:r>
    </w:p>
    <w:p w14:paraId="4DBD3271" w14:textId="77777777" w:rsidR="00E52ECD" w:rsidRPr="006D07C0" w:rsidRDefault="00E52ECD" w:rsidP="004723A8">
      <w:pPr>
        <w:pStyle w:val="ListParagraph"/>
        <w:numPr>
          <w:ilvl w:val="2"/>
          <w:numId w:val="4"/>
        </w:numPr>
        <w:rPr>
          <w:rFonts w:asciiTheme="majorBidi" w:hAnsiTheme="majorBidi" w:cstheme="majorBidi"/>
        </w:rPr>
      </w:pPr>
      <w:r w:rsidRPr="006D07C0">
        <w:rPr>
          <w:rFonts w:asciiTheme="majorBidi" w:hAnsiTheme="majorBidi" w:cstheme="majorBidi"/>
        </w:rPr>
        <w:t>The risk for blood culture positivity of mortality was 1.6-fold higher in patients with</w:t>
      </w:r>
      <w:r w:rsidR="00D34B0E" w:rsidRPr="006D07C0">
        <w:rPr>
          <w:rFonts w:asciiTheme="majorBidi" w:hAnsiTheme="majorBidi" w:cstheme="majorBidi"/>
        </w:rPr>
        <w:t xml:space="preserve"> </w:t>
      </w:r>
      <w:r w:rsidRPr="006D07C0">
        <w:rPr>
          <w:rFonts w:asciiTheme="majorBidi" w:hAnsiTheme="majorBidi" w:cstheme="majorBidi"/>
        </w:rPr>
        <w:t xml:space="preserve">25(OH)D values in the deficient group, compared </w:t>
      </w:r>
      <w:r w:rsidR="004723A8" w:rsidRPr="006D07C0">
        <w:rPr>
          <w:rFonts w:asciiTheme="majorBidi" w:hAnsiTheme="majorBidi" w:cstheme="majorBidi"/>
        </w:rPr>
        <w:t>to</w:t>
      </w:r>
      <w:r w:rsidRPr="006D07C0">
        <w:rPr>
          <w:rFonts w:asciiTheme="majorBidi" w:hAnsiTheme="majorBidi" w:cstheme="majorBidi"/>
        </w:rPr>
        <w:t xml:space="preserve"> t</w:t>
      </w:r>
      <w:r w:rsidR="004723A8" w:rsidRPr="006D07C0">
        <w:rPr>
          <w:rFonts w:asciiTheme="majorBidi" w:hAnsiTheme="majorBidi" w:cstheme="majorBidi"/>
        </w:rPr>
        <w:t>hose with vitamin D sufficiency</w:t>
      </w:r>
    </w:p>
    <w:p w14:paraId="6E44F74F" w14:textId="77777777" w:rsidR="00B36B94" w:rsidRDefault="00B36B94" w:rsidP="009A37FC">
      <w:pPr>
        <w:rPr>
          <w:rFonts w:asciiTheme="majorBidi" w:hAnsiTheme="majorBidi" w:cstheme="majorBidi"/>
        </w:rPr>
      </w:pPr>
    </w:p>
    <w:p w14:paraId="41AD6C71" w14:textId="77777777" w:rsidR="006D07C0" w:rsidRPr="006D07C0" w:rsidRDefault="006D07C0" w:rsidP="009A37FC">
      <w:pPr>
        <w:rPr>
          <w:rFonts w:asciiTheme="majorBidi" w:hAnsiTheme="majorBidi" w:cstheme="majorBidi"/>
        </w:rPr>
      </w:pPr>
    </w:p>
    <w:p w14:paraId="2672026C" w14:textId="77777777" w:rsidR="00DA63E1" w:rsidRPr="006D07C0" w:rsidRDefault="00DA63E1" w:rsidP="009A37FC">
      <w:pPr>
        <w:rPr>
          <w:rFonts w:asciiTheme="majorBidi" w:hAnsiTheme="majorBidi" w:cstheme="majorBidi"/>
        </w:rPr>
      </w:pPr>
    </w:p>
    <w:p w14:paraId="7ED3A4A6" w14:textId="77777777" w:rsidR="00710F9C" w:rsidRPr="006D07C0" w:rsidRDefault="00710F9C" w:rsidP="009A37FC">
      <w:pPr>
        <w:rPr>
          <w:rFonts w:asciiTheme="majorBidi" w:hAnsiTheme="majorBidi" w:cstheme="majorBidi"/>
        </w:rPr>
      </w:pPr>
    </w:p>
    <w:p w14:paraId="18607615" w14:textId="77777777" w:rsidR="008137CE" w:rsidRPr="009A37FC" w:rsidRDefault="008137CE" w:rsidP="009A37FC">
      <w:pPr>
        <w:rPr>
          <w:rFonts w:asciiTheme="majorBidi" w:hAnsiTheme="majorBidi" w:cstheme="majorBidi"/>
        </w:rPr>
      </w:pPr>
    </w:p>
    <w:p w14:paraId="479ECE2F" w14:textId="77777777" w:rsidR="009A37FC" w:rsidRPr="006D07C0" w:rsidRDefault="009A37FC">
      <w:pPr>
        <w:rPr>
          <w:rFonts w:asciiTheme="majorBidi" w:hAnsiTheme="majorBidi" w:cstheme="majorBidi"/>
        </w:rPr>
      </w:pPr>
    </w:p>
    <w:p w14:paraId="3258B0A6" w14:textId="77777777" w:rsidR="00144AD6" w:rsidRPr="006D07C0" w:rsidRDefault="00144AD6">
      <w:pPr>
        <w:rPr>
          <w:rFonts w:asciiTheme="majorBidi" w:hAnsiTheme="majorBidi" w:cstheme="majorBidi"/>
        </w:rPr>
      </w:pPr>
    </w:p>
    <w:sectPr w:rsidR="00144AD6" w:rsidRPr="006D07C0" w:rsidSect="006D07C0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00D8"/>
    <w:multiLevelType w:val="hybridMultilevel"/>
    <w:tmpl w:val="00B6B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5F310E"/>
    <w:multiLevelType w:val="hybridMultilevel"/>
    <w:tmpl w:val="4A564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E603F5"/>
    <w:multiLevelType w:val="hybridMultilevel"/>
    <w:tmpl w:val="0CCC3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46327"/>
    <w:multiLevelType w:val="hybridMultilevel"/>
    <w:tmpl w:val="2B42E8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B80A46"/>
    <w:multiLevelType w:val="hybridMultilevel"/>
    <w:tmpl w:val="8B5CD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70"/>
    <w:rsid w:val="00021BC0"/>
    <w:rsid w:val="00022069"/>
    <w:rsid w:val="00052993"/>
    <w:rsid w:val="00070409"/>
    <w:rsid w:val="00144AD6"/>
    <w:rsid w:val="0014535D"/>
    <w:rsid w:val="0033427C"/>
    <w:rsid w:val="003D4A42"/>
    <w:rsid w:val="004723A8"/>
    <w:rsid w:val="004F63A9"/>
    <w:rsid w:val="00503358"/>
    <w:rsid w:val="00530825"/>
    <w:rsid w:val="0059396F"/>
    <w:rsid w:val="005D1B28"/>
    <w:rsid w:val="00612D42"/>
    <w:rsid w:val="00670470"/>
    <w:rsid w:val="006D07C0"/>
    <w:rsid w:val="00710F9C"/>
    <w:rsid w:val="00746641"/>
    <w:rsid w:val="008137CE"/>
    <w:rsid w:val="00871668"/>
    <w:rsid w:val="008F179D"/>
    <w:rsid w:val="009A37FC"/>
    <w:rsid w:val="00A12D7A"/>
    <w:rsid w:val="00A20F98"/>
    <w:rsid w:val="00B36B94"/>
    <w:rsid w:val="00B5629F"/>
    <w:rsid w:val="00B62506"/>
    <w:rsid w:val="00C80495"/>
    <w:rsid w:val="00D34B0E"/>
    <w:rsid w:val="00DA63E1"/>
    <w:rsid w:val="00DC28E3"/>
    <w:rsid w:val="00E52ECD"/>
    <w:rsid w:val="00E96293"/>
    <w:rsid w:val="00EA4704"/>
    <w:rsid w:val="00F44B84"/>
    <w:rsid w:val="00FA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B61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670470"/>
    <w:rPr>
      <w:rFonts w:ascii="Times" w:hAnsi="Times" w:cs="Times New Roman"/>
      <w:sz w:val="21"/>
      <w:szCs w:val="21"/>
    </w:rPr>
  </w:style>
  <w:style w:type="paragraph" w:customStyle="1" w:styleId="p2">
    <w:name w:val="p2"/>
    <w:basedOn w:val="Normal"/>
    <w:rsid w:val="00B62506"/>
    <w:rPr>
      <w:rFonts w:ascii="Times" w:hAnsi="Times" w:cs="Times New Roman"/>
      <w:sz w:val="15"/>
      <w:szCs w:val="15"/>
    </w:rPr>
  </w:style>
  <w:style w:type="character" w:customStyle="1" w:styleId="apple-converted-space">
    <w:name w:val="apple-converted-space"/>
    <w:basedOn w:val="DefaultParagraphFont"/>
    <w:rsid w:val="00B62506"/>
  </w:style>
  <w:style w:type="character" w:customStyle="1" w:styleId="s1">
    <w:name w:val="s1"/>
    <w:basedOn w:val="DefaultParagraphFont"/>
    <w:rsid w:val="00070409"/>
    <w:rPr>
      <w:rFonts w:ascii="Times" w:hAnsi="Times" w:hint="default"/>
      <w:sz w:val="12"/>
      <w:szCs w:val="12"/>
    </w:rPr>
  </w:style>
  <w:style w:type="paragraph" w:styleId="ListParagraph">
    <w:name w:val="List Paragraph"/>
    <w:basedOn w:val="Normal"/>
    <w:uiPriority w:val="34"/>
    <w:qFormat/>
    <w:rsid w:val="0059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532</Words>
  <Characters>3036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2</cp:revision>
  <dcterms:created xsi:type="dcterms:W3CDTF">2017-05-11T14:51:00Z</dcterms:created>
  <dcterms:modified xsi:type="dcterms:W3CDTF">2017-05-11T16:50:00Z</dcterms:modified>
</cp:coreProperties>
</file>