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942" w:rsidRDefault="009E319A" w:rsidP="009E319A">
      <w:pPr>
        <w:autoSpaceDE w:val="0"/>
        <w:autoSpaceDN w:val="0"/>
        <w:adjustRightInd w:val="0"/>
        <w:spacing w:after="0" w:line="240" w:lineRule="auto"/>
        <w:rPr>
          <w:rFonts w:ascii="AdvP6EC5" w:hAnsi="AdvP6EC5" w:cs="AdvP6EC5"/>
          <w:sz w:val="24"/>
          <w:szCs w:val="24"/>
        </w:rPr>
      </w:pPr>
      <w:r>
        <w:rPr>
          <w:rFonts w:ascii="AdvP6EC5" w:hAnsi="AdvP6EC5" w:cs="AdvP6EC5"/>
          <w:sz w:val="24"/>
          <w:szCs w:val="24"/>
        </w:rPr>
        <w:t>VASODILATORS IN SEPTIC SHOCK RESUSCITATION:</w:t>
      </w:r>
      <w:r>
        <w:rPr>
          <w:rFonts w:ascii="AdvP6EC5" w:hAnsi="AdvP6EC5" w:cs="AdvP6EC5"/>
          <w:sz w:val="24"/>
          <w:szCs w:val="24"/>
        </w:rPr>
        <w:t xml:space="preserve"> </w:t>
      </w:r>
      <w:r>
        <w:rPr>
          <w:rFonts w:ascii="AdvP6EC5" w:hAnsi="AdvP6EC5" w:cs="AdvP6EC5"/>
          <w:sz w:val="24"/>
          <w:szCs w:val="24"/>
        </w:rPr>
        <w:t>A CLINICAL PERSPECTIVE</w:t>
      </w:r>
    </w:p>
    <w:p w:rsidR="002266E4" w:rsidRDefault="002266E4" w:rsidP="009E319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2266E4" w:rsidRDefault="002266E4" w:rsidP="009E319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2266E4" w:rsidRDefault="002266E4" w:rsidP="009E319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68E1399E" wp14:editId="10295E75">
            <wp:extent cx="5943600" cy="34728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7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</w:rPr>
        <w:br/>
      </w:r>
    </w:p>
    <w:p w:rsidR="002266E4" w:rsidRDefault="002266E4" w:rsidP="002266E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Microcirculation</w:t>
      </w:r>
    </w:p>
    <w:p w:rsidR="002266E4" w:rsidRDefault="002266E4" w:rsidP="002266E4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Arterioles, capillaries, venules</w:t>
      </w:r>
    </w:p>
    <w:p w:rsidR="002266E4" w:rsidRDefault="002266E4" w:rsidP="002266E4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Primary site of oxygen exchange between RBC and tissue</w:t>
      </w:r>
    </w:p>
    <w:p w:rsidR="002266E4" w:rsidRDefault="002266E4" w:rsidP="002266E4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Disturbed in sepsis</w:t>
      </w:r>
    </w:p>
    <w:p w:rsidR="002266E4" w:rsidRDefault="002266E4" w:rsidP="002266E4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Associated with poor outcomes</w:t>
      </w:r>
    </w:p>
    <w:p w:rsidR="002266E4" w:rsidRDefault="002266E4" w:rsidP="002266E4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Poiseuille’s law</w:t>
      </w:r>
    </w:p>
    <w:p w:rsidR="002266E4" w:rsidRDefault="002266E4" w:rsidP="002266E4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Blood flow is determined proportionally by pressure gradient between post-arteriolar and venular pressures</w:t>
      </w:r>
    </w:p>
    <w:p w:rsidR="002266E4" w:rsidRDefault="002266E4" w:rsidP="002266E4">
      <w:pPr>
        <w:pStyle w:val="ListParagraph"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Microcirculatory driving pressure</w:t>
      </w:r>
    </w:p>
    <w:p w:rsidR="002266E4" w:rsidRDefault="002266E4" w:rsidP="002266E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266E4">
        <w:rPr>
          <w:rFonts w:cstheme="minorHAnsi"/>
        </w:rPr>
        <w:lastRenderedPageBreak/>
        <w:t>And directly related to radius^4 and inversely related to capillary length</w:t>
      </w:r>
      <w:r>
        <w:rPr>
          <w:rFonts w:cstheme="minorHAnsi"/>
        </w:rPr>
        <w:br/>
      </w:r>
      <w:r>
        <w:rPr>
          <w:noProof/>
        </w:rPr>
        <w:drawing>
          <wp:inline distT="0" distB="0" distL="0" distR="0" wp14:anchorId="50E9B76F" wp14:editId="312F07A6">
            <wp:extent cx="4869951" cy="4277860"/>
            <wp:effectExtent l="0" t="0" r="6985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70117" cy="4278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6E4" w:rsidRPr="002266E4" w:rsidRDefault="002266E4" w:rsidP="002266E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266E4">
        <w:rPr>
          <w:rFonts w:cstheme="minorHAnsi"/>
        </w:rPr>
        <w:t>Vasodilators</w:t>
      </w:r>
    </w:p>
    <w:p w:rsidR="002266E4" w:rsidRDefault="002266E4" w:rsidP="002266E4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Acetylcholine, NO donors, Nitroglycerin</w:t>
      </w:r>
    </w:p>
    <w:p w:rsidR="002266E4" w:rsidRDefault="002266E4" w:rsidP="002266E4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Could increase precapillary inflow pressure while maintaining venular outflow pressure</w:t>
      </w:r>
    </w:p>
    <w:p w:rsidR="002266E4" w:rsidRDefault="002266E4" w:rsidP="002266E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Sepsis and microvascular circulation</w:t>
      </w:r>
    </w:p>
    <w:p w:rsidR="002266E4" w:rsidRDefault="002266E4" w:rsidP="002266E4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Heterogeneous inducible NO synthase cause microvascular abnormalities</w:t>
      </w:r>
    </w:p>
    <w:p w:rsidR="002266E4" w:rsidRDefault="002266E4" w:rsidP="002266E4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Reactive oxygen species can consume NO leading to NO deficiency</w:t>
      </w:r>
    </w:p>
    <w:p w:rsidR="002266E4" w:rsidRDefault="002266E4" w:rsidP="00E82446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Glycocalyx</w:t>
      </w:r>
    </w:p>
    <w:p w:rsidR="002266E4" w:rsidRDefault="002266E4" w:rsidP="00E82446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Thin layer of glycosaminoglycan that covers endothelial surface</w:t>
      </w:r>
    </w:p>
    <w:p w:rsidR="002266E4" w:rsidRDefault="002266E4" w:rsidP="00E82446">
      <w:pPr>
        <w:pStyle w:val="ListParagraph"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Sepsis – thickness is reduced</w:t>
      </w:r>
    </w:p>
    <w:p w:rsidR="00E82446" w:rsidRDefault="00E82446" w:rsidP="00E82446">
      <w:pPr>
        <w:pStyle w:val="ListParagraph"/>
        <w:numPr>
          <w:ilvl w:val="4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Increased WBC and platelet adhesion</w:t>
      </w:r>
    </w:p>
    <w:p w:rsidR="00E82446" w:rsidRDefault="00E82446" w:rsidP="00E82446">
      <w:pPr>
        <w:pStyle w:val="ListParagraph"/>
        <w:numPr>
          <w:ilvl w:val="4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Increased blood viscosity</w:t>
      </w:r>
    </w:p>
    <w:p w:rsidR="00E82446" w:rsidRDefault="00E82446" w:rsidP="00E8244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Microcirculatory abnormalities in sepsis</w:t>
      </w:r>
    </w:p>
    <w:p w:rsidR="00E82446" w:rsidRDefault="00E82446" w:rsidP="00E82446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Decreased perfused capillary density</w:t>
      </w:r>
    </w:p>
    <w:p w:rsidR="00E82446" w:rsidRDefault="00E82446" w:rsidP="00E82446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Decreased proportion of perfused capillaries</w:t>
      </w:r>
    </w:p>
    <w:p w:rsidR="00E82446" w:rsidRDefault="00E82446" w:rsidP="00E82446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Heterogeneous capillary perfusion within organs</w:t>
      </w:r>
    </w:p>
    <w:p w:rsidR="00E82446" w:rsidRDefault="00E82446" w:rsidP="00E82446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Intermittent capillary perfusion</w:t>
      </w:r>
    </w:p>
    <w:p w:rsidR="00E82446" w:rsidRDefault="00E82446" w:rsidP="00E82446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Can change second to second</w:t>
      </w:r>
    </w:p>
    <w:p w:rsidR="00E82446" w:rsidRDefault="002542A1" w:rsidP="00E82446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Associated with non-survival</w:t>
      </w:r>
    </w:p>
    <w:p w:rsidR="002542A1" w:rsidRDefault="002542A1" w:rsidP="002542A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Vasodilators</w:t>
      </w:r>
    </w:p>
    <w:p w:rsidR="002542A1" w:rsidRDefault="002542A1" w:rsidP="002542A1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Clinical and experimental studies show administration of NO donors could recruit sublingual capillaries</w:t>
      </w:r>
    </w:p>
    <w:p w:rsidR="002542A1" w:rsidRDefault="0045583D" w:rsidP="002542A1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lastRenderedPageBreak/>
        <w:t>Conflicting clinical trials since regarding benefits of this therapy</w:t>
      </w:r>
    </w:p>
    <w:p w:rsidR="0045583D" w:rsidRDefault="0045583D" w:rsidP="0045583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Fluid Therapy</w:t>
      </w:r>
    </w:p>
    <w:p w:rsidR="0045583D" w:rsidRDefault="0045583D" w:rsidP="0045583D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Main determinants of oxygen transport to the tissue cells are:</w:t>
      </w:r>
    </w:p>
    <w:p w:rsidR="0045583D" w:rsidRDefault="0045583D" w:rsidP="0045583D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Convection</w:t>
      </w:r>
    </w:p>
    <w:p w:rsidR="0045583D" w:rsidRDefault="0045583D" w:rsidP="0045583D">
      <w:pPr>
        <w:pStyle w:val="ListParagraph"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Convective transport of oxygen carrying RBC through capillaries</w:t>
      </w:r>
    </w:p>
    <w:p w:rsidR="009E48D7" w:rsidRDefault="009E48D7" w:rsidP="0045583D">
      <w:pPr>
        <w:pStyle w:val="ListParagraph"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Determined by</w:t>
      </w:r>
    </w:p>
    <w:p w:rsidR="009E48D7" w:rsidRDefault="009E48D7" w:rsidP="009E48D7">
      <w:pPr>
        <w:pStyle w:val="ListParagraph"/>
        <w:numPr>
          <w:ilvl w:val="4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Rate at which RBC enter capillaries</w:t>
      </w:r>
    </w:p>
    <w:p w:rsidR="009E48D7" w:rsidRDefault="009E48D7" w:rsidP="009E48D7">
      <w:pPr>
        <w:pStyle w:val="ListParagraph"/>
        <w:numPr>
          <w:ilvl w:val="4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SpO2</w:t>
      </w:r>
    </w:p>
    <w:p w:rsidR="009E48D7" w:rsidRDefault="009E48D7" w:rsidP="009E48D7">
      <w:pPr>
        <w:pStyle w:val="ListParagraph"/>
        <w:numPr>
          <w:ilvl w:val="4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Oxygen carrying capacity of RBC at SpO2 of 100%</w:t>
      </w:r>
    </w:p>
    <w:p w:rsidR="009E48D7" w:rsidRDefault="009E48D7" w:rsidP="009E48D7">
      <w:pPr>
        <w:pStyle w:val="ListParagraph"/>
        <w:numPr>
          <w:ilvl w:val="5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0.0362 </w:t>
      </w:r>
      <w:proofErr w:type="spellStart"/>
      <w:r>
        <w:rPr>
          <w:rFonts w:cstheme="minorHAnsi"/>
        </w:rPr>
        <w:t>pl</w:t>
      </w:r>
      <w:proofErr w:type="spellEnd"/>
      <w:r>
        <w:rPr>
          <w:rFonts w:cstheme="minorHAnsi"/>
        </w:rPr>
        <w:t xml:space="preserve"> O2/RBC</w:t>
      </w:r>
    </w:p>
    <w:p w:rsidR="0045583D" w:rsidRDefault="0045583D" w:rsidP="0045583D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Diffusion</w:t>
      </w:r>
    </w:p>
    <w:p w:rsidR="0045583D" w:rsidRDefault="0045583D" w:rsidP="0045583D">
      <w:pPr>
        <w:pStyle w:val="ListParagraph"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Diffusion of oxygen from RBC to tissue cells mitochondria</w:t>
      </w:r>
    </w:p>
    <w:p w:rsidR="0045583D" w:rsidRDefault="009E48D7" w:rsidP="0045583D">
      <w:pPr>
        <w:pStyle w:val="ListParagraph"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Determined by Fick’s law of diffusion</w:t>
      </w:r>
    </w:p>
    <w:p w:rsidR="009E48D7" w:rsidRDefault="009E48D7" w:rsidP="009E48D7">
      <w:pPr>
        <w:pStyle w:val="ListParagraph"/>
        <w:numPr>
          <w:ilvl w:val="4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Gradient of O2 in RBC to mitochondria (pO2Grad)</w:t>
      </w:r>
    </w:p>
    <w:p w:rsidR="009E48D7" w:rsidRDefault="009E48D7" w:rsidP="009E48D7">
      <w:pPr>
        <w:pStyle w:val="ListParagraph"/>
        <w:numPr>
          <w:ilvl w:val="4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Diffusion coefficient</w:t>
      </w:r>
    </w:p>
    <w:p w:rsidR="009E48D7" w:rsidRDefault="009E48D7" w:rsidP="009E48D7">
      <w:pPr>
        <w:pStyle w:val="ListParagraph"/>
        <w:numPr>
          <w:ilvl w:val="4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Exchange surface</w:t>
      </w:r>
    </w:p>
    <w:p w:rsidR="009E48D7" w:rsidRDefault="009E48D7" w:rsidP="009E48D7">
      <w:pPr>
        <w:pStyle w:val="ListParagraph"/>
        <w:numPr>
          <w:ilvl w:val="4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Diffusion distance</w:t>
      </w:r>
    </w:p>
    <w:p w:rsidR="009E48D7" w:rsidRDefault="009E48D7" w:rsidP="009E48D7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Fluid therapy can </w:t>
      </w:r>
    </w:p>
    <w:p w:rsidR="009E48D7" w:rsidRDefault="009E48D7" w:rsidP="009E48D7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improve convection</w:t>
      </w:r>
    </w:p>
    <w:p w:rsidR="009E48D7" w:rsidRDefault="009E48D7" w:rsidP="009E48D7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decreased blood viscosity and improve flow</w:t>
      </w:r>
    </w:p>
    <w:p w:rsidR="009E48D7" w:rsidRDefault="009E48D7" w:rsidP="009E48D7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decrease release of endogenous vasoconstrictors</w:t>
      </w:r>
    </w:p>
    <w:p w:rsidR="009E48D7" w:rsidRDefault="009E48D7" w:rsidP="009E48D7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Volume overload (too much </w:t>
      </w:r>
      <w:proofErr w:type="spellStart"/>
      <w:r>
        <w:rPr>
          <w:rFonts w:cstheme="minorHAnsi"/>
        </w:rPr>
        <w:t>fludis</w:t>
      </w:r>
      <w:proofErr w:type="spellEnd"/>
      <w:r>
        <w:rPr>
          <w:rFonts w:cstheme="minorHAnsi"/>
        </w:rPr>
        <w:t>)</w:t>
      </w:r>
    </w:p>
    <w:p w:rsidR="009E48D7" w:rsidRDefault="009E48D7" w:rsidP="009E48D7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Increased CVP and decreased microcirculatory driving pressure and increase diffusion distance between capillary RBC and mitochondria</w:t>
      </w:r>
    </w:p>
    <w:p w:rsidR="009E48D7" w:rsidRDefault="009E48D7" w:rsidP="009E48D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noProof/>
        </w:rPr>
        <w:drawing>
          <wp:inline distT="0" distB="0" distL="0" distR="0" wp14:anchorId="270CB15C" wp14:editId="33D23547">
            <wp:extent cx="5943600" cy="215138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8D7" w:rsidRDefault="00A83FC3" w:rsidP="009E48D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Dobutamine and vasopressors</w:t>
      </w:r>
    </w:p>
    <w:p w:rsidR="00A83FC3" w:rsidRDefault="00C82119" w:rsidP="00A83FC3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Dobutamine is primarily beta-adrenergic agent but has mild vasodilatory effects</w:t>
      </w:r>
    </w:p>
    <w:p w:rsidR="00C82119" w:rsidRDefault="00C82119" w:rsidP="00C82119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May improve microvascular blood flow by increasing driving pressure and increased cardiac output</w:t>
      </w:r>
    </w:p>
    <w:p w:rsidR="00C82119" w:rsidRDefault="00C82119" w:rsidP="00C82119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Studies on increasing MAPs from 60-90 did not show effects on sublingual microvascular blood flow in septic shock patients</w:t>
      </w:r>
    </w:p>
    <w:p w:rsidR="00C82119" w:rsidRDefault="00C82119" w:rsidP="00C8211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Blood transfusion</w:t>
      </w:r>
    </w:p>
    <w:p w:rsidR="00C82119" w:rsidRDefault="00C82119" w:rsidP="00C82119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Increasing hemoglobin concentration from 7-8g/</w:t>
      </w:r>
      <w:proofErr w:type="spellStart"/>
      <w:r>
        <w:rPr>
          <w:rFonts w:cstheme="minorHAnsi"/>
        </w:rPr>
        <w:t>dL</w:t>
      </w:r>
      <w:proofErr w:type="spellEnd"/>
      <w:r>
        <w:rPr>
          <w:rFonts w:cstheme="minorHAnsi"/>
        </w:rPr>
        <w:t xml:space="preserve"> did not appear to affect microvascular </w:t>
      </w:r>
      <w:r w:rsidR="00B10AF2">
        <w:rPr>
          <w:rFonts w:cstheme="minorHAnsi"/>
        </w:rPr>
        <w:t xml:space="preserve">circulation </w:t>
      </w:r>
    </w:p>
    <w:p w:rsidR="00B10AF2" w:rsidRPr="00C82119" w:rsidRDefault="00B10AF2" w:rsidP="00B10AF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Conclusions – We still don’t know what to d</w:t>
      </w:r>
      <w:bookmarkStart w:id="0" w:name="_GoBack"/>
      <w:bookmarkEnd w:id="0"/>
      <w:r>
        <w:rPr>
          <w:rFonts w:cstheme="minorHAnsi"/>
        </w:rPr>
        <w:t>o!!!</w:t>
      </w:r>
    </w:p>
    <w:sectPr w:rsidR="00B10AF2" w:rsidRPr="00C821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P6EC5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25A47"/>
    <w:multiLevelType w:val="hybridMultilevel"/>
    <w:tmpl w:val="61CC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493A98"/>
    <w:multiLevelType w:val="hybridMultilevel"/>
    <w:tmpl w:val="0C3E1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19A"/>
    <w:rsid w:val="002266E4"/>
    <w:rsid w:val="002542A1"/>
    <w:rsid w:val="0045583D"/>
    <w:rsid w:val="009E319A"/>
    <w:rsid w:val="009E48D7"/>
    <w:rsid w:val="00A83FC3"/>
    <w:rsid w:val="00AE2942"/>
    <w:rsid w:val="00B10AF2"/>
    <w:rsid w:val="00C82119"/>
    <w:rsid w:val="00E8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66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6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6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66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6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</cp:lastModifiedBy>
  <cp:revision>2</cp:revision>
  <dcterms:created xsi:type="dcterms:W3CDTF">2017-04-03T14:39:00Z</dcterms:created>
  <dcterms:modified xsi:type="dcterms:W3CDTF">2017-04-03T15:56:00Z</dcterms:modified>
</cp:coreProperties>
</file>