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D64" w:rsidRDefault="007F3D64" w:rsidP="007F3D64">
      <w:r>
        <w:t>J Am Vet Med Assoc. 2004 Jul 15</w:t>
      </w:r>
      <w:proofErr w:type="gramStart"/>
      <w:r>
        <w:t>;</w:t>
      </w:r>
      <w:proofErr w:type="gramEnd"/>
      <w:r>
        <w:t xml:space="preserve"> 225(2): 242-50.</w:t>
      </w:r>
    </w:p>
    <w:p w:rsidR="007F3D64" w:rsidRPr="007F3D64" w:rsidRDefault="007F3D64" w:rsidP="007F3D64">
      <w:pPr>
        <w:rPr>
          <w:b/>
        </w:rPr>
      </w:pPr>
      <w:r w:rsidRPr="007F3D64">
        <w:rPr>
          <w:b/>
        </w:rPr>
        <w:t>Evaluation of complications and prognostic factors associated with administration of total parenteral nutrition in cats: 75 cases (1994-2001).</w:t>
      </w:r>
    </w:p>
    <w:p w:rsidR="007F3D64" w:rsidRDefault="007F3D64" w:rsidP="007F3D64"/>
    <w:p w:rsidR="007F3D64" w:rsidRDefault="007F3D64" w:rsidP="007F3D64">
      <w:r w:rsidRPr="007F3D64">
        <w:rPr>
          <w:b/>
        </w:rPr>
        <w:t>OBJECTIVE:</w:t>
      </w:r>
      <w:r>
        <w:t xml:space="preserve"> To determine </w:t>
      </w:r>
      <w:r w:rsidRPr="00675957">
        <w:rPr>
          <w:i/>
          <w:u w:val="single"/>
        </w:rPr>
        <w:t>frequency and types of complications</w:t>
      </w:r>
      <w:r>
        <w:t xml:space="preserve">, </w:t>
      </w:r>
      <w:r w:rsidRPr="00675957">
        <w:rPr>
          <w:i/>
          <w:u w:val="single"/>
        </w:rPr>
        <w:t>prognostic factors</w:t>
      </w:r>
      <w:r>
        <w:t xml:space="preserve">, and </w:t>
      </w:r>
      <w:r w:rsidRPr="00675957">
        <w:rPr>
          <w:i/>
          <w:u w:val="single"/>
        </w:rPr>
        <w:t>primary diseases</w:t>
      </w:r>
      <w:r>
        <w:t xml:space="preserve"> affecting clinical </w:t>
      </w:r>
      <w:r w:rsidRPr="00675957">
        <w:rPr>
          <w:i/>
          <w:u w:val="single"/>
        </w:rPr>
        <w:t>outcome</w:t>
      </w:r>
      <w:r>
        <w:t xml:space="preserve"> associated with administration of total parenteral nutrition (TPN) in cats.</w:t>
      </w:r>
    </w:p>
    <w:p w:rsidR="008F610F" w:rsidRDefault="008F610F" w:rsidP="007F3D64"/>
    <w:p w:rsidR="007F3D64" w:rsidRDefault="007F3D64" w:rsidP="007F3D64">
      <w:r w:rsidRPr="007F3D64">
        <w:rPr>
          <w:b/>
        </w:rPr>
        <w:t>DESIGN:</w:t>
      </w:r>
      <w:r>
        <w:t xml:space="preserve"> Retrospective study.</w:t>
      </w:r>
    </w:p>
    <w:p w:rsidR="007F3D64" w:rsidRDefault="007F3D64" w:rsidP="007F3D64"/>
    <w:p w:rsidR="007F3D64" w:rsidRDefault="007F3D64" w:rsidP="007F3D64">
      <w:r w:rsidRPr="007F3D64">
        <w:rPr>
          <w:b/>
        </w:rPr>
        <w:t>ANIMALS:</w:t>
      </w:r>
      <w:r>
        <w:t xml:space="preserve"> 75 cats that received TPN for &gt; or = 12 hours.</w:t>
      </w:r>
    </w:p>
    <w:p w:rsidR="007F3D64" w:rsidRDefault="007F3D64" w:rsidP="007F3D64"/>
    <w:p w:rsidR="007F3D64" w:rsidRDefault="007F3D64" w:rsidP="007F3D64">
      <w:r w:rsidRPr="007F3D64">
        <w:rPr>
          <w:b/>
        </w:rPr>
        <w:t>PROCEDURE:</w:t>
      </w:r>
      <w:r>
        <w:t xml:space="preserve"> Medical records were reviewed, and information was obtained on signalment, history, problems at initial evaluation, physical examination findings, weight and changes in weight while receiving TPN, duration in the hospital before initiation of TPN, the type of TPN catheter used, duration of TPN administration, and final diagnosis. Laboratory results obtained immediately prior to TPN and at 24 and 96 hours following initiation of TPN administration were compared.</w:t>
      </w:r>
    </w:p>
    <w:p w:rsidR="007F3D64" w:rsidRDefault="007F3D64" w:rsidP="007F3D64"/>
    <w:p w:rsidR="007F3D64" w:rsidRDefault="007F3D64" w:rsidP="007F3D64">
      <w:r w:rsidRPr="007F3D64">
        <w:rPr>
          <w:b/>
        </w:rPr>
        <w:t>RESULTS:</w:t>
      </w:r>
      <w:r>
        <w:t xml:space="preserve"> Reports of weight loss at initial evaluation, hyperglycemia at 24 hours, or diagnosis of chronic renal failure were significantly associated with increased mortality rate. Greater serum albumin concentrations prior to and at 96 hours following TPN administration were significantly associated with decreased mortality rate. Mechanical and septic complications were infrequent and not associated with increased mortality rate. Most cats had multiple diseases. The overall mortality rate was 52%; among 75 cats, 36 recovered, 23 were euthanatized, and 16 died as a result of their primary illness or complications associated with their illness.</w:t>
      </w:r>
    </w:p>
    <w:p w:rsidR="007F3D64" w:rsidRDefault="007F3D64" w:rsidP="007F3D64"/>
    <w:p w:rsidR="008F610F" w:rsidRDefault="007F3D64" w:rsidP="007F3D64">
      <w:r w:rsidRPr="007F3D64">
        <w:rPr>
          <w:b/>
        </w:rPr>
        <w:t>CONCLUSIONS AND CLINICAL RELEVANCE:</w:t>
      </w:r>
      <w:r>
        <w:t xml:space="preserve"> Results indicated high mortality rate in cats maintained on TPN that had multiple concurrent diseases associated with a poor prognosis. Indicators of poor prognosis included a history of weight loss, hyperglycemia at 24 hours following TPN administration, </w:t>
      </w:r>
      <w:proofErr w:type="spellStart"/>
      <w:r>
        <w:t>hypoalbuminemia</w:t>
      </w:r>
      <w:proofErr w:type="spellEnd"/>
      <w:r>
        <w:t>, and chronic renal failure.</w:t>
      </w:r>
    </w:p>
    <w:p w:rsidR="008F610F" w:rsidRDefault="008F610F" w:rsidP="007F3D64">
      <w:r>
        <w:t>_________________________________________________________________________________________________________</w:t>
      </w:r>
    </w:p>
    <w:p w:rsidR="007F3D64" w:rsidRPr="008F610F" w:rsidRDefault="00555799" w:rsidP="007F3D64">
      <w:pPr>
        <w:rPr>
          <w:sz w:val="22"/>
          <w:szCs w:val="22"/>
        </w:rPr>
      </w:pPr>
      <w:r w:rsidRPr="008F610F">
        <w:rPr>
          <w:b/>
          <w:sz w:val="22"/>
          <w:szCs w:val="22"/>
        </w:rPr>
        <w:t>Why did they do the study?</w:t>
      </w:r>
      <w:r w:rsidRPr="008F610F">
        <w:rPr>
          <w:sz w:val="22"/>
          <w:szCs w:val="22"/>
        </w:rPr>
        <w:t xml:space="preserve"> </w:t>
      </w:r>
      <w:proofErr w:type="gramStart"/>
      <w:r w:rsidRPr="008F610F">
        <w:rPr>
          <w:sz w:val="22"/>
          <w:szCs w:val="22"/>
        </w:rPr>
        <w:t>Limited information on the use of TPN in cats WRT risk factors</w:t>
      </w:r>
      <w:r w:rsidR="00F1126D" w:rsidRPr="008F610F">
        <w:rPr>
          <w:sz w:val="22"/>
          <w:szCs w:val="22"/>
        </w:rPr>
        <w:t xml:space="preserve"> or variables to predict outcome</w:t>
      </w:r>
      <w:r w:rsidRPr="008F610F">
        <w:rPr>
          <w:sz w:val="22"/>
          <w:szCs w:val="22"/>
        </w:rPr>
        <w:t>.</w:t>
      </w:r>
      <w:proofErr w:type="gramEnd"/>
      <w:r w:rsidRPr="008F610F">
        <w:rPr>
          <w:sz w:val="22"/>
          <w:szCs w:val="22"/>
        </w:rPr>
        <w:t xml:space="preserve">  P</w:t>
      </w:r>
      <w:r w:rsidR="00F1126D" w:rsidRPr="008F610F">
        <w:rPr>
          <w:sz w:val="22"/>
          <w:szCs w:val="22"/>
        </w:rPr>
        <w:t>revious study on healthy cats receiving TPN showed development of hematologic abnormalities (unknown significance of those changes in clinically ill cats)</w:t>
      </w:r>
    </w:p>
    <w:p w:rsidR="00F1126D" w:rsidRPr="008F610F" w:rsidRDefault="00F1126D" w:rsidP="007F3D64">
      <w:pPr>
        <w:rPr>
          <w:sz w:val="22"/>
          <w:szCs w:val="22"/>
        </w:rPr>
      </w:pPr>
    </w:p>
    <w:p w:rsidR="00F1126D" w:rsidRPr="008F610F" w:rsidRDefault="00F1126D" w:rsidP="007F3D64">
      <w:pPr>
        <w:rPr>
          <w:sz w:val="22"/>
          <w:szCs w:val="22"/>
        </w:rPr>
      </w:pPr>
      <w:proofErr w:type="gramStart"/>
      <w:r w:rsidRPr="008F610F">
        <w:rPr>
          <w:b/>
          <w:sz w:val="22"/>
          <w:szCs w:val="22"/>
        </w:rPr>
        <w:t>Material &amp; Methods:</w:t>
      </w:r>
      <w:r w:rsidR="00E01B91" w:rsidRPr="008F610F">
        <w:rPr>
          <w:b/>
          <w:sz w:val="22"/>
          <w:szCs w:val="22"/>
        </w:rPr>
        <w:t xml:space="preserve"> </w:t>
      </w:r>
      <w:r w:rsidR="00E01B91" w:rsidRPr="008F610F">
        <w:rPr>
          <w:sz w:val="22"/>
          <w:szCs w:val="22"/>
        </w:rPr>
        <w:t>Retrospective study; 75 cats that received TPN; recorded history/ PE and lab data.</w:t>
      </w:r>
      <w:proofErr w:type="gramEnd"/>
      <w:r w:rsidR="00E01B91" w:rsidRPr="008F610F">
        <w:rPr>
          <w:sz w:val="22"/>
          <w:szCs w:val="22"/>
        </w:rPr>
        <w:t xml:space="preserve"> </w:t>
      </w:r>
      <w:r w:rsidR="00641311" w:rsidRPr="008F610F">
        <w:rPr>
          <w:sz w:val="22"/>
          <w:szCs w:val="22"/>
        </w:rPr>
        <w:t xml:space="preserve">Evaluated various risk factors and their effects on </w:t>
      </w:r>
      <w:r w:rsidR="008F610F" w:rsidRPr="008F610F">
        <w:rPr>
          <w:sz w:val="22"/>
          <w:szCs w:val="22"/>
        </w:rPr>
        <w:t>survival/probability of being weaned from TPN</w:t>
      </w:r>
    </w:p>
    <w:p w:rsidR="008F610F" w:rsidRPr="008F610F" w:rsidRDefault="008F610F" w:rsidP="007F3D64">
      <w:pPr>
        <w:rPr>
          <w:sz w:val="22"/>
          <w:szCs w:val="22"/>
        </w:rPr>
      </w:pPr>
    </w:p>
    <w:p w:rsidR="008F610F" w:rsidRPr="008F610F" w:rsidRDefault="008F610F" w:rsidP="007F3D64">
      <w:pPr>
        <w:rPr>
          <w:sz w:val="22"/>
          <w:szCs w:val="22"/>
        </w:rPr>
      </w:pPr>
      <w:r w:rsidRPr="008F610F">
        <w:rPr>
          <w:b/>
          <w:sz w:val="22"/>
          <w:szCs w:val="22"/>
        </w:rPr>
        <w:t xml:space="preserve">Results: </w:t>
      </w:r>
      <w:r w:rsidRPr="008F610F">
        <w:rPr>
          <w:sz w:val="22"/>
          <w:szCs w:val="22"/>
        </w:rPr>
        <w:t xml:space="preserve">Increased mortality rate in cats that had previous weight loss, hyperglycemia (T24) or CKD. Decreased mortality rate in cats with higher albumin prior and during TPN. </w:t>
      </w:r>
      <w:proofErr w:type="gramStart"/>
      <w:r w:rsidRPr="008F610F">
        <w:rPr>
          <w:sz w:val="22"/>
          <w:szCs w:val="22"/>
        </w:rPr>
        <w:t>High mortality in cats with multiple concomitant diseases.</w:t>
      </w:r>
      <w:proofErr w:type="gramEnd"/>
      <w:r w:rsidRPr="008F610F">
        <w:rPr>
          <w:sz w:val="22"/>
          <w:szCs w:val="22"/>
        </w:rPr>
        <w:t xml:space="preserve"> 21% of cats had at least 1 mechanical complication. Frequent metabolic complications include: hyperglycemia, </w:t>
      </w:r>
      <w:proofErr w:type="spellStart"/>
      <w:r w:rsidRPr="008F610F">
        <w:rPr>
          <w:sz w:val="22"/>
          <w:szCs w:val="22"/>
        </w:rPr>
        <w:t>hyponatremia</w:t>
      </w:r>
      <w:proofErr w:type="spellEnd"/>
      <w:r w:rsidRPr="008F610F">
        <w:rPr>
          <w:sz w:val="22"/>
          <w:szCs w:val="22"/>
        </w:rPr>
        <w:t xml:space="preserve">, </w:t>
      </w:r>
      <w:proofErr w:type="gramStart"/>
      <w:r w:rsidRPr="008F610F">
        <w:rPr>
          <w:sz w:val="22"/>
          <w:szCs w:val="22"/>
        </w:rPr>
        <w:t>hypokalemia</w:t>
      </w:r>
      <w:proofErr w:type="gramEnd"/>
      <w:r w:rsidRPr="008F610F">
        <w:rPr>
          <w:sz w:val="22"/>
          <w:szCs w:val="22"/>
        </w:rPr>
        <w:t xml:space="preserve">. </w:t>
      </w:r>
    </w:p>
    <w:p w:rsidR="00BB50B4" w:rsidRDefault="00BB50B4" w:rsidP="007F3D64"/>
    <w:p w:rsidR="00F1126D" w:rsidRPr="00F1126D" w:rsidRDefault="00F1126D" w:rsidP="007F3D64">
      <w:bookmarkStart w:id="0" w:name="_GoBack"/>
      <w:bookmarkEnd w:id="0"/>
    </w:p>
    <w:sectPr w:rsidR="00F1126D" w:rsidRPr="00F1126D"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D64"/>
    <w:rsid w:val="002C4D29"/>
    <w:rsid w:val="00437961"/>
    <w:rsid w:val="00555799"/>
    <w:rsid w:val="00641311"/>
    <w:rsid w:val="00675957"/>
    <w:rsid w:val="007F3D64"/>
    <w:rsid w:val="008F610F"/>
    <w:rsid w:val="009C411F"/>
    <w:rsid w:val="00BB50B4"/>
    <w:rsid w:val="00E01B91"/>
    <w:rsid w:val="00F1126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6F874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67144">
      <w:bodyDiv w:val="1"/>
      <w:marLeft w:val="0"/>
      <w:marRight w:val="0"/>
      <w:marTop w:val="0"/>
      <w:marBottom w:val="0"/>
      <w:divBdr>
        <w:top w:val="none" w:sz="0" w:space="0" w:color="auto"/>
        <w:left w:val="none" w:sz="0" w:space="0" w:color="auto"/>
        <w:bottom w:val="none" w:sz="0" w:space="0" w:color="auto"/>
        <w:right w:val="none" w:sz="0" w:space="0" w:color="auto"/>
      </w:divBdr>
      <w:divsChild>
        <w:div w:id="2046787147">
          <w:marLeft w:val="0"/>
          <w:marRight w:val="0"/>
          <w:marTop w:val="0"/>
          <w:marBottom w:val="0"/>
          <w:divBdr>
            <w:top w:val="none" w:sz="0" w:space="0" w:color="auto"/>
            <w:left w:val="none" w:sz="0" w:space="0" w:color="auto"/>
            <w:bottom w:val="none" w:sz="0" w:space="0" w:color="auto"/>
            <w:right w:val="none" w:sz="0" w:space="0" w:color="auto"/>
          </w:divBdr>
        </w:div>
        <w:div w:id="819230180">
          <w:marLeft w:val="0"/>
          <w:marRight w:val="0"/>
          <w:marTop w:val="0"/>
          <w:marBottom w:val="0"/>
          <w:divBdr>
            <w:top w:val="none" w:sz="0" w:space="0" w:color="auto"/>
            <w:left w:val="none" w:sz="0" w:space="0" w:color="auto"/>
            <w:bottom w:val="none" w:sz="0" w:space="0" w:color="auto"/>
            <w:right w:val="none" w:sz="0" w:space="0" w:color="auto"/>
          </w:divBdr>
        </w:div>
        <w:div w:id="1214586519">
          <w:marLeft w:val="0"/>
          <w:marRight w:val="0"/>
          <w:marTop w:val="0"/>
          <w:marBottom w:val="0"/>
          <w:divBdr>
            <w:top w:val="none" w:sz="0" w:space="0" w:color="auto"/>
            <w:left w:val="none" w:sz="0" w:space="0" w:color="auto"/>
            <w:bottom w:val="none" w:sz="0" w:space="0" w:color="auto"/>
            <w:right w:val="none" w:sz="0" w:space="0" w:color="auto"/>
          </w:divBdr>
        </w:div>
        <w:div w:id="818159325">
          <w:marLeft w:val="0"/>
          <w:marRight w:val="0"/>
          <w:marTop w:val="0"/>
          <w:marBottom w:val="0"/>
          <w:divBdr>
            <w:top w:val="none" w:sz="0" w:space="0" w:color="auto"/>
            <w:left w:val="none" w:sz="0" w:space="0" w:color="auto"/>
            <w:bottom w:val="none" w:sz="0" w:space="0" w:color="auto"/>
            <w:right w:val="none" w:sz="0" w:space="0" w:color="auto"/>
          </w:divBdr>
          <w:divsChild>
            <w:div w:id="40411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448</Words>
  <Characters>2469</Characters>
  <Application>Microsoft Macintosh Word</Application>
  <DocSecurity>0</DocSecurity>
  <Lines>20</Lines>
  <Paragraphs>5</Paragraphs>
  <ScaleCrop>false</ScaleCrop>
  <Company/>
  <LinksUpToDate>false</LinksUpToDate>
  <CharactersWithSpaces>2912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1</cp:revision>
  <dcterms:created xsi:type="dcterms:W3CDTF">2016-09-23T15:29:00Z</dcterms:created>
  <dcterms:modified xsi:type="dcterms:W3CDTF">2016-09-23T19:32:00Z</dcterms:modified>
</cp:coreProperties>
</file>