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48D" w:rsidRPr="003A1A81" w:rsidRDefault="00AD1682">
      <w:pPr>
        <w:rPr>
          <w:b/>
          <w:sz w:val="24"/>
          <w:szCs w:val="24"/>
        </w:rPr>
      </w:pPr>
      <w:r w:rsidRPr="003A1A81">
        <w:rPr>
          <w:b/>
          <w:sz w:val="24"/>
          <w:szCs w:val="24"/>
        </w:rPr>
        <w:t>Focused Ultrasound Technique for the Small Animal Practitioner</w:t>
      </w:r>
    </w:p>
    <w:p w:rsidR="00AD1682" w:rsidRPr="003A1A81" w:rsidRDefault="00AD1682">
      <w:pPr>
        <w:rPr>
          <w:b/>
          <w:sz w:val="24"/>
          <w:szCs w:val="24"/>
        </w:rPr>
      </w:pPr>
      <w:r w:rsidRPr="003A1A81">
        <w:rPr>
          <w:b/>
          <w:sz w:val="24"/>
          <w:szCs w:val="24"/>
        </w:rPr>
        <w:t>TFAST part 2</w:t>
      </w:r>
    </w:p>
    <w:p w:rsidR="00AD1682" w:rsidRPr="003A1A81" w:rsidRDefault="003A1A8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146649</wp:posOffset>
                </wp:positionH>
                <wp:positionV relativeFrom="paragraph">
                  <wp:posOffset>240869</wp:posOffset>
                </wp:positionV>
                <wp:extent cx="6142008" cy="1431985"/>
                <wp:effectExtent l="0" t="0" r="11430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008" cy="14319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14312" id="Rectangle 6" o:spid="_x0000_s1026" style="position:absolute;margin-left:11.55pt;margin-top:18.95pt;width:483.6pt;height:1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" filled="f" strokecolor="black [3213]" strokeweight="1.5pt"/>
            </w:pict>
          </mc:Fallback>
        </mc:AlternateContent>
      </w:r>
    </w:p>
    <w:p w:rsidR="00BC0671" w:rsidRPr="00BC0671" w:rsidRDefault="00AD1682" w:rsidP="003A1A81">
      <w:pPr>
        <w:jc w:val="center"/>
        <w:rPr>
          <w:b/>
          <w:sz w:val="24"/>
          <w:szCs w:val="24"/>
        </w:rPr>
      </w:pPr>
      <w:r w:rsidRPr="003A1A81">
        <w:rPr>
          <w:b/>
          <w:sz w:val="24"/>
          <w:szCs w:val="24"/>
        </w:rPr>
        <w:t>Summary</w:t>
      </w:r>
    </w:p>
    <w:p w:rsidR="00BC0671" w:rsidRPr="003A1A81" w:rsidRDefault="00BC0671" w:rsidP="009C64B9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3A1A81">
        <w:rPr>
          <w:rFonts w:eastAsia="Times New Roman" w:cs="Times New Roman"/>
          <w:sz w:val="24"/>
          <w:szCs w:val="24"/>
        </w:rPr>
        <w:t xml:space="preserve">TFAST </w:t>
      </w:r>
      <w:r w:rsidRPr="00BC0671">
        <w:rPr>
          <w:rFonts w:eastAsia="Times New Roman" w:cs="Times New Roman"/>
          <w:sz w:val="24"/>
          <w:szCs w:val="24"/>
        </w:rPr>
        <w:t xml:space="preserve">should be used as a first-line screening test for both blunt and penetrating trauma for rapid </w:t>
      </w:r>
      <w:r w:rsidRPr="003A1A81">
        <w:rPr>
          <w:rFonts w:eastAsia="Times New Roman" w:cs="Times New Roman"/>
          <w:sz w:val="24"/>
          <w:szCs w:val="24"/>
        </w:rPr>
        <w:t>detection of pneumothorax</w:t>
      </w:r>
      <w:r w:rsidRPr="00BC0671">
        <w:rPr>
          <w:rFonts w:eastAsia="Times New Roman" w:cs="Times New Roman"/>
          <w:sz w:val="24"/>
          <w:szCs w:val="24"/>
        </w:rPr>
        <w:t>, pleural and pericardial effusions, as well as other trauma sequelae.</w:t>
      </w:r>
    </w:p>
    <w:p w:rsidR="00BC0671" w:rsidRPr="003A1A81" w:rsidRDefault="00BC0671" w:rsidP="00BC0671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C0671">
        <w:rPr>
          <w:rFonts w:eastAsia="Times New Roman" w:cs="Times New Roman"/>
          <w:sz w:val="24"/>
          <w:szCs w:val="24"/>
        </w:rPr>
        <w:t>TFAST</w:t>
      </w:r>
      <w:r w:rsidRPr="003A1A81">
        <w:rPr>
          <w:rFonts w:eastAsia="Times New Roman" w:cs="Times New Roman"/>
          <w:sz w:val="24"/>
          <w:szCs w:val="24"/>
        </w:rPr>
        <w:t xml:space="preserve"> </w:t>
      </w:r>
      <w:r w:rsidRPr="00BC0671">
        <w:rPr>
          <w:rFonts w:eastAsia="Times New Roman" w:cs="Times New Roman"/>
          <w:sz w:val="24"/>
          <w:szCs w:val="24"/>
        </w:rPr>
        <w:t>should be used as a first line screening test in non-trauma subsets of patients with respiratory distress, collapse, and unexplained hypotension.</w:t>
      </w:r>
    </w:p>
    <w:p w:rsidR="00AD1682" w:rsidRDefault="00AD1682" w:rsidP="00AD1682">
      <w:pPr>
        <w:jc w:val="center"/>
        <w:rPr>
          <w:b/>
        </w:rPr>
      </w:pPr>
    </w:p>
    <w:p w:rsidR="003A1A81" w:rsidRDefault="003A1A81" w:rsidP="00AD1682">
      <w:pPr>
        <w:rPr>
          <w:b/>
          <w:sz w:val="24"/>
          <w:szCs w:val="24"/>
        </w:rPr>
      </w:pPr>
    </w:p>
    <w:p w:rsidR="00AD1682" w:rsidRPr="00C747E5" w:rsidRDefault="00AD1682" w:rsidP="00AD1682">
      <w:pPr>
        <w:rPr>
          <w:b/>
          <w:sz w:val="24"/>
          <w:szCs w:val="24"/>
        </w:rPr>
      </w:pPr>
      <w:r w:rsidRPr="00C747E5">
        <w:rPr>
          <w:b/>
          <w:sz w:val="24"/>
          <w:szCs w:val="24"/>
        </w:rPr>
        <w:t>Wet Lung vs Dry Lung Concept</w:t>
      </w:r>
    </w:p>
    <w:p w:rsidR="00AD1682" w:rsidRPr="00AD1682" w:rsidRDefault="00AD1682" w:rsidP="000C6D6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AD1682">
        <w:rPr>
          <w:rFonts w:eastAsia="Times New Roman" w:cs="Times New Roman"/>
          <w:sz w:val="24"/>
          <w:szCs w:val="24"/>
        </w:rPr>
        <w:t xml:space="preserve">In people, lung ultrasound is superior to chest auscultation and supine chest radiography in detecting interstitial syndrome and lung consolidation </w:t>
      </w:r>
    </w:p>
    <w:p w:rsidR="00AD1682" w:rsidRPr="00AD1682" w:rsidRDefault="00AD1682" w:rsidP="00AD16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D1682">
        <w:rPr>
          <w:sz w:val="24"/>
          <w:szCs w:val="24"/>
        </w:rPr>
        <w:t>Wet lung &gt; b-lines</w:t>
      </w:r>
    </w:p>
    <w:p w:rsidR="00AD1682" w:rsidRPr="00AD1682" w:rsidRDefault="00AD1682" w:rsidP="00AD16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D1682">
        <w:rPr>
          <w:sz w:val="24"/>
          <w:szCs w:val="24"/>
        </w:rPr>
        <w:t>Dry lung &gt; a lines and glide sign</w:t>
      </w:r>
    </w:p>
    <w:p w:rsidR="00AD1682" w:rsidRPr="00C747E5" w:rsidRDefault="00AD1682" w:rsidP="00AD1682">
      <w:pPr>
        <w:rPr>
          <w:b/>
          <w:sz w:val="24"/>
          <w:szCs w:val="24"/>
        </w:rPr>
      </w:pPr>
      <w:r w:rsidRPr="00C747E5">
        <w:rPr>
          <w:b/>
          <w:sz w:val="24"/>
          <w:szCs w:val="24"/>
        </w:rPr>
        <w:t>Subcutaneous Emphysema</w:t>
      </w:r>
    </w:p>
    <w:p w:rsidR="00AD1682" w:rsidRPr="003A1A81" w:rsidRDefault="00AD1682" w:rsidP="003A1A8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AD1682">
        <w:rPr>
          <w:rFonts w:eastAsia="Times New Roman" w:cs="Times New Roman"/>
          <w:sz w:val="24"/>
          <w:szCs w:val="24"/>
        </w:rPr>
        <w:t>Ultrasound does not transit (image) through air</w:t>
      </w:r>
    </w:p>
    <w:p w:rsidR="00AD1682" w:rsidRDefault="00AD1682" w:rsidP="001E089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AD1682">
        <w:rPr>
          <w:rFonts w:eastAsia="Times New Roman" w:cs="Times New Roman"/>
          <w:sz w:val="24"/>
          <w:szCs w:val="24"/>
        </w:rPr>
        <w:t xml:space="preserve">Gator sign orientation is almost always possible by applying sufficient probe pressure to displace the SQE </w:t>
      </w:r>
    </w:p>
    <w:p w:rsidR="00C747E5" w:rsidRDefault="003A1A81" w:rsidP="003A1A8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AD1682">
        <w:rPr>
          <w:noProof/>
          <w:sz w:val="24"/>
          <w:szCs w:val="24"/>
        </w:rPr>
        <w:drawing>
          <wp:inline distT="0" distB="0" distL="0" distR="0" wp14:anchorId="7E9EF4DB" wp14:editId="33248233">
            <wp:extent cx="4701396" cy="2147272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4332" cy="21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81" w:rsidRDefault="003A1A81" w:rsidP="00C747E5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C747E5" w:rsidRPr="00C747E5" w:rsidRDefault="00C747E5" w:rsidP="00C747E5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C747E5">
        <w:rPr>
          <w:rFonts w:eastAsia="Times New Roman" w:cs="Times New Roman"/>
          <w:b/>
          <w:sz w:val="24"/>
          <w:szCs w:val="24"/>
        </w:rPr>
        <w:t>Pericardium</w:t>
      </w:r>
    </w:p>
    <w:p w:rsidR="00C747E5" w:rsidRDefault="00C747E5" w:rsidP="00C747E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3-5</w:t>
      </w:r>
      <w:r w:rsidRPr="00C747E5">
        <w:rPr>
          <w:rFonts w:eastAsia="Times New Roman" w:cs="Times New Roman"/>
          <w:sz w:val="24"/>
          <w:szCs w:val="24"/>
          <w:vertAlign w:val="superscript"/>
        </w:rPr>
        <w:t>th</w:t>
      </w:r>
      <w:r>
        <w:rPr>
          <w:rFonts w:eastAsia="Times New Roman" w:cs="Times New Roman"/>
          <w:sz w:val="24"/>
          <w:szCs w:val="24"/>
        </w:rPr>
        <w:t xml:space="preserve"> intercostal spaces</w:t>
      </w:r>
    </w:p>
    <w:p w:rsidR="00C747E5" w:rsidRDefault="00C747E5" w:rsidP="00C747E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Marker towards the elbow (short axis of &lt;3), then rotate marker toward spine (long axis of &lt;3)</w:t>
      </w:r>
    </w:p>
    <w:p w:rsidR="00C747E5" w:rsidRDefault="00C747E5" w:rsidP="00C747E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Right lateral recumbency is preferred, due to the cardiac notch providing a be</w:t>
      </w:r>
      <w:bookmarkStart w:id="0" w:name="_GoBack"/>
      <w:bookmarkEnd w:id="0"/>
      <w:r>
        <w:rPr>
          <w:rFonts w:eastAsia="Times New Roman" w:cs="Times New Roman"/>
          <w:sz w:val="24"/>
          <w:szCs w:val="24"/>
        </w:rPr>
        <w:t>tter acoustic window (less lung)</w:t>
      </w:r>
    </w:p>
    <w:p w:rsidR="00C747E5" w:rsidRDefault="00C747E5" w:rsidP="00C747E5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C747E5" w:rsidRPr="00C747E5" w:rsidRDefault="00C747E5" w:rsidP="00C747E5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proofErr w:type="spellStart"/>
      <w:r w:rsidRPr="00C747E5">
        <w:rPr>
          <w:rFonts w:eastAsia="Times New Roman" w:cs="Times New Roman"/>
          <w:b/>
          <w:sz w:val="24"/>
          <w:szCs w:val="24"/>
        </w:rPr>
        <w:t>Diaphragmatico</w:t>
      </w:r>
      <w:proofErr w:type="spellEnd"/>
      <w:r w:rsidRPr="00C747E5">
        <w:rPr>
          <w:rFonts w:eastAsia="Times New Roman" w:cs="Times New Roman"/>
          <w:b/>
          <w:sz w:val="24"/>
          <w:szCs w:val="24"/>
        </w:rPr>
        <w:t>-Hepatic (DH) View</w:t>
      </w:r>
    </w:p>
    <w:p w:rsidR="00C747E5" w:rsidRDefault="00731526" w:rsidP="00C747E5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Image is the gallbladder “kissing” the diaphragm</w:t>
      </w:r>
    </w:p>
    <w:p w:rsidR="00731526" w:rsidRDefault="00731526" w:rsidP="00C747E5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Subxiphoid</w:t>
      </w:r>
      <w:proofErr w:type="spellEnd"/>
      <w:r>
        <w:rPr>
          <w:rFonts w:eastAsia="Times New Roman" w:cs="Times New Roman"/>
          <w:sz w:val="24"/>
          <w:szCs w:val="24"/>
        </w:rPr>
        <w:t xml:space="preserve"> or </w:t>
      </w:r>
      <w:proofErr w:type="spellStart"/>
      <w:r>
        <w:rPr>
          <w:rFonts w:eastAsia="Times New Roman" w:cs="Times New Roman"/>
          <w:sz w:val="24"/>
          <w:szCs w:val="24"/>
        </w:rPr>
        <w:t>paracostal</w:t>
      </w:r>
      <w:proofErr w:type="spellEnd"/>
      <w:r>
        <w:rPr>
          <w:rFonts w:eastAsia="Times New Roman" w:cs="Times New Roman"/>
          <w:sz w:val="24"/>
          <w:szCs w:val="24"/>
        </w:rPr>
        <w:t xml:space="preserve"> view</w:t>
      </w:r>
    </w:p>
    <w:p w:rsidR="003A1A81" w:rsidRDefault="003A1A81" w:rsidP="003A1A81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31526" w:rsidRDefault="00731526" w:rsidP="00731526">
      <w:pPr>
        <w:pStyle w:val="ListParagraph"/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CCBC6E" wp14:editId="3A4E8A1E">
            <wp:extent cx="4994694" cy="2010685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3918" cy="201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526" w:rsidRPr="00C747E5" w:rsidRDefault="00731526" w:rsidP="00731526">
      <w:pPr>
        <w:pStyle w:val="ListParagraph"/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AD1682" w:rsidRPr="003A1A81" w:rsidRDefault="00143A23" w:rsidP="00AD1682">
      <w:pPr>
        <w:rPr>
          <w:b/>
          <w:sz w:val="24"/>
          <w:szCs w:val="24"/>
        </w:rPr>
      </w:pPr>
      <w:r w:rsidRPr="003A1A81">
        <w:rPr>
          <w:b/>
          <w:sz w:val="24"/>
          <w:szCs w:val="24"/>
        </w:rPr>
        <w:t>Findings at the TFAST Pericardial Site</w:t>
      </w:r>
    </w:p>
    <w:p w:rsidR="00143A23" w:rsidRPr="003A1A81" w:rsidRDefault="00143A23" w:rsidP="00143A2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A1A81">
        <w:rPr>
          <w:sz w:val="24"/>
          <w:szCs w:val="24"/>
        </w:rPr>
        <w:t>Can also evaluate contractility and volume status via the left ventricular short axis mushroom view</w:t>
      </w:r>
    </w:p>
    <w:p w:rsidR="00143A23" w:rsidRPr="003A1A81" w:rsidRDefault="00143A23" w:rsidP="00143A2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A1A81">
        <w:rPr>
          <w:sz w:val="24"/>
          <w:szCs w:val="24"/>
        </w:rPr>
        <w:t>Dry lung strategy high sensitivity and specificity (&gt;98%) in people for ruling out cardiogenic pulmonary edema &gt; can be used to guide diuretic usage in heart failure management</w:t>
      </w:r>
    </w:p>
    <w:p w:rsidR="00143A23" w:rsidRPr="003A1A81" w:rsidRDefault="00143A23" w:rsidP="00143A23">
      <w:pPr>
        <w:rPr>
          <w:b/>
          <w:sz w:val="24"/>
          <w:szCs w:val="24"/>
        </w:rPr>
      </w:pPr>
      <w:r w:rsidRPr="003A1A81">
        <w:rPr>
          <w:b/>
          <w:sz w:val="24"/>
          <w:szCs w:val="24"/>
        </w:rPr>
        <w:t>Determining Pleural from Pericardial Effusion</w:t>
      </w:r>
    </w:p>
    <w:p w:rsidR="00143A23" w:rsidRDefault="00143A23" w:rsidP="003527A5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3A1A81">
        <w:rPr>
          <w:rFonts w:eastAsia="Times New Roman" w:cs="Times New Roman"/>
          <w:sz w:val="24"/>
          <w:szCs w:val="24"/>
        </w:rPr>
        <w:t xml:space="preserve">Bull’s eye sign is created by the apex </w:t>
      </w:r>
      <w:r w:rsidRPr="00143A23">
        <w:rPr>
          <w:rFonts w:eastAsia="Times New Roman" w:cs="Times New Roman"/>
          <w:sz w:val="24"/>
          <w:szCs w:val="24"/>
        </w:rPr>
        <w:t>of the heart in the center of the pericardial fluid</w:t>
      </w:r>
    </w:p>
    <w:p w:rsidR="003A1A81" w:rsidRDefault="00143A23" w:rsidP="003A1A81">
      <w:pPr>
        <w:pStyle w:val="ListParagraph"/>
        <w:jc w:val="center"/>
        <w:rPr>
          <w:sz w:val="24"/>
          <w:szCs w:val="24"/>
        </w:rPr>
      </w:pPr>
      <w:r w:rsidRPr="003A1A81">
        <w:rPr>
          <w:noProof/>
          <w:sz w:val="24"/>
          <w:szCs w:val="24"/>
        </w:rPr>
        <w:drawing>
          <wp:inline distT="0" distB="0" distL="0" distR="0" wp14:anchorId="1AB64B57" wp14:editId="035E9890">
            <wp:extent cx="3245509" cy="26120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9482" cy="26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A23" w:rsidRPr="003A1A81" w:rsidRDefault="00143A23" w:rsidP="003A1A81">
      <w:pPr>
        <w:pStyle w:val="ListParagraph"/>
        <w:ind w:left="0"/>
        <w:rPr>
          <w:sz w:val="24"/>
          <w:szCs w:val="24"/>
        </w:rPr>
      </w:pPr>
      <w:r w:rsidRPr="003A1A81">
        <w:rPr>
          <w:b/>
          <w:sz w:val="24"/>
          <w:szCs w:val="24"/>
        </w:rPr>
        <w:lastRenderedPageBreak/>
        <w:t>Cardiac Tamponade</w:t>
      </w:r>
    </w:p>
    <w:p w:rsidR="00143A23" w:rsidRPr="003A1A81" w:rsidRDefault="00143A23" w:rsidP="00143A23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3A1A81">
        <w:rPr>
          <w:sz w:val="24"/>
          <w:szCs w:val="24"/>
        </w:rPr>
        <w:t xml:space="preserve">Waving or collapse with diastole of the right ventricular  or right atrial free wall </w:t>
      </w:r>
    </w:p>
    <w:p w:rsidR="00143A23" w:rsidRPr="003A1A81" w:rsidRDefault="00143A23" w:rsidP="00143A23">
      <w:pPr>
        <w:pStyle w:val="ListParagraph"/>
        <w:jc w:val="center"/>
        <w:rPr>
          <w:sz w:val="24"/>
          <w:szCs w:val="24"/>
        </w:rPr>
      </w:pPr>
      <w:r w:rsidRPr="003A1A81">
        <w:rPr>
          <w:noProof/>
          <w:sz w:val="24"/>
          <w:szCs w:val="24"/>
        </w:rPr>
        <w:drawing>
          <wp:inline distT="0" distB="0" distL="0" distR="0" wp14:anchorId="4F430675" wp14:editId="67E204F6">
            <wp:extent cx="3187685" cy="25608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6393" cy="256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A23" w:rsidRPr="003A1A81" w:rsidRDefault="00143A23" w:rsidP="00143A23">
      <w:pPr>
        <w:pStyle w:val="ListParagraph"/>
        <w:ind w:left="0"/>
        <w:jc w:val="center"/>
        <w:rPr>
          <w:sz w:val="24"/>
          <w:szCs w:val="24"/>
        </w:rPr>
      </w:pPr>
    </w:p>
    <w:p w:rsidR="00E44757" w:rsidRPr="003A1A81" w:rsidRDefault="00E44757" w:rsidP="00E44757">
      <w:pPr>
        <w:rPr>
          <w:b/>
          <w:sz w:val="24"/>
          <w:szCs w:val="24"/>
        </w:rPr>
      </w:pPr>
      <w:r w:rsidRPr="003A1A81">
        <w:rPr>
          <w:b/>
          <w:sz w:val="24"/>
          <w:szCs w:val="24"/>
        </w:rPr>
        <w:t>Use of M-mode for Lung Ultrasound</w:t>
      </w:r>
    </w:p>
    <w:p w:rsidR="00E44757" w:rsidRPr="003A1A81" w:rsidRDefault="00E44757" w:rsidP="00E4475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3A1A81">
        <w:rPr>
          <w:sz w:val="24"/>
          <w:szCs w:val="24"/>
        </w:rPr>
        <w:t>Dry lung is represented by the seashore sign (graininess of sand along the shoreline)</w:t>
      </w:r>
    </w:p>
    <w:p w:rsidR="00BC0671" w:rsidRPr="003A1A81" w:rsidRDefault="00BC0671" w:rsidP="009204A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3A1A81">
        <w:rPr>
          <w:sz w:val="24"/>
          <w:szCs w:val="24"/>
        </w:rPr>
        <w:t>Pneumothorax will produce a stratosphere sign or bar code sign</w:t>
      </w:r>
    </w:p>
    <w:p w:rsidR="00BC0671" w:rsidRDefault="00BC0671" w:rsidP="00636A5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3A1A81">
        <w:rPr>
          <w:sz w:val="24"/>
          <w:szCs w:val="24"/>
        </w:rPr>
        <w:t>Wet lungs will produce a rain sign</w:t>
      </w:r>
    </w:p>
    <w:p w:rsidR="003A1A81" w:rsidRPr="003A1A81" w:rsidRDefault="003A1A81" w:rsidP="003A1A81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3A1A81">
        <w:rPr>
          <w:sz w:val="24"/>
          <w:szCs w:val="24"/>
        </w:rPr>
        <w:t xml:space="preserve">Power slide: glide sign with </w:t>
      </w:r>
      <w:proofErr w:type="spellStart"/>
      <w:r w:rsidRPr="003A1A81">
        <w:rPr>
          <w:sz w:val="24"/>
          <w:szCs w:val="24"/>
        </w:rPr>
        <w:t>doppler</w:t>
      </w:r>
      <w:proofErr w:type="spellEnd"/>
    </w:p>
    <w:p w:rsidR="003A1A81" w:rsidRPr="003A1A81" w:rsidRDefault="003A1A81" w:rsidP="003A1A81">
      <w:pPr>
        <w:pStyle w:val="ListParagraph"/>
        <w:rPr>
          <w:sz w:val="24"/>
          <w:szCs w:val="24"/>
        </w:rPr>
      </w:pPr>
    </w:p>
    <w:p w:rsidR="00BC0671" w:rsidRPr="003A1A81" w:rsidRDefault="00BC0671" w:rsidP="00BC0671">
      <w:pPr>
        <w:pStyle w:val="ListParagraph"/>
        <w:jc w:val="center"/>
        <w:rPr>
          <w:sz w:val="24"/>
          <w:szCs w:val="24"/>
        </w:rPr>
      </w:pPr>
      <w:r w:rsidRPr="003A1A81">
        <w:rPr>
          <w:noProof/>
          <w:sz w:val="24"/>
          <w:szCs w:val="24"/>
        </w:rPr>
        <w:drawing>
          <wp:inline distT="0" distB="0" distL="0" distR="0" wp14:anchorId="16B594D1" wp14:editId="78858F38">
            <wp:extent cx="4390678" cy="3554761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2059" cy="357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671" w:rsidRDefault="003A1A81" w:rsidP="00BC0671">
      <w:pPr>
        <w:rPr>
          <w:sz w:val="24"/>
          <w:szCs w:val="24"/>
        </w:rPr>
      </w:pPr>
      <w:r>
        <w:rPr>
          <w:sz w:val="24"/>
          <w:szCs w:val="24"/>
        </w:rPr>
        <w:lastRenderedPageBreak/>
        <w:t>Questions:</w:t>
      </w:r>
    </w:p>
    <w:p w:rsidR="003A1A81" w:rsidRDefault="003A1A81" w:rsidP="003A1A81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 or F: Subcutaneous emphysema enhances TFAST</w:t>
      </w:r>
    </w:p>
    <w:p w:rsidR="003A1A81" w:rsidRDefault="003A1A81" w:rsidP="003A1A81">
      <w:pPr>
        <w:pStyle w:val="ListParagraph"/>
        <w:rPr>
          <w:sz w:val="24"/>
          <w:szCs w:val="24"/>
        </w:rPr>
      </w:pPr>
    </w:p>
    <w:p w:rsidR="003A1A81" w:rsidRDefault="003A1A81" w:rsidP="003A1A81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Explain what a bull’s eye sign is?</w:t>
      </w:r>
    </w:p>
    <w:p w:rsidR="003A1A81" w:rsidRPr="003A1A81" w:rsidRDefault="003A1A81" w:rsidP="003A1A81">
      <w:pPr>
        <w:pStyle w:val="ListParagraph"/>
        <w:rPr>
          <w:sz w:val="24"/>
          <w:szCs w:val="24"/>
        </w:rPr>
      </w:pPr>
    </w:p>
    <w:p w:rsidR="003A1A81" w:rsidRPr="003A1A81" w:rsidRDefault="003A1A81" w:rsidP="003A1A81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T or F: </w:t>
      </w:r>
      <w:r w:rsidRPr="003A1A81">
        <w:rPr>
          <w:sz w:val="24"/>
          <w:szCs w:val="24"/>
        </w:rPr>
        <w:t>Waving or collapse with diastole</w:t>
      </w:r>
      <w:r>
        <w:rPr>
          <w:sz w:val="24"/>
          <w:szCs w:val="24"/>
        </w:rPr>
        <w:t xml:space="preserve"> of the left</w:t>
      </w:r>
      <w:r w:rsidRPr="003A1A81">
        <w:rPr>
          <w:sz w:val="24"/>
          <w:szCs w:val="24"/>
        </w:rPr>
        <w:t xml:space="preserve"> atrial free wall </w:t>
      </w:r>
      <w:r>
        <w:rPr>
          <w:sz w:val="24"/>
          <w:szCs w:val="24"/>
        </w:rPr>
        <w:t>can be seen in cardiac tamponade</w:t>
      </w:r>
    </w:p>
    <w:p w:rsidR="003A1A81" w:rsidRDefault="003A1A81" w:rsidP="003A1A81">
      <w:pPr>
        <w:rPr>
          <w:sz w:val="24"/>
          <w:szCs w:val="24"/>
        </w:rPr>
      </w:pPr>
    </w:p>
    <w:p w:rsidR="003A1A81" w:rsidRDefault="003A1A81" w:rsidP="003A1A81">
      <w:pPr>
        <w:rPr>
          <w:sz w:val="24"/>
          <w:szCs w:val="24"/>
        </w:rPr>
      </w:pPr>
      <w:r>
        <w:rPr>
          <w:sz w:val="24"/>
          <w:szCs w:val="24"/>
        </w:rPr>
        <w:t>Answer</w:t>
      </w:r>
      <w:r>
        <w:rPr>
          <w:sz w:val="24"/>
          <w:szCs w:val="24"/>
        </w:rPr>
        <w:t>s:</w:t>
      </w:r>
    </w:p>
    <w:p w:rsidR="003A1A81" w:rsidRDefault="003A1A81" w:rsidP="003A1A8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T or </w:t>
      </w:r>
      <w:r w:rsidRPr="003A1A81">
        <w:rPr>
          <w:color w:val="FF0000"/>
          <w:sz w:val="24"/>
          <w:szCs w:val="24"/>
        </w:rPr>
        <w:t>F</w:t>
      </w:r>
      <w:r>
        <w:rPr>
          <w:sz w:val="24"/>
          <w:szCs w:val="24"/>
        </w:rPr>
        <w:t>: Subcutaneous emphysema enhances TFAST</w:t>
      </w:r>
      <w:r>
        <w:rPr>
          <w:sz w:val="24"/>
          <w:szCs w:val="24"/>
        </w:rPr>
        <w:t xml:space="preserve">  </w:t>
      </w:r>
      <w:r w:rsidRPr="003A1A81">
        <w:rPr>
          <w:color w:val="FF0000"/>
          <w:sz w:val="24"/>
          <w:szCs w:val="24"/>
        </w:rPr>
        <w:t xml:space="preserve"> worsens</w:t>
      </w:r>
    </w:p>
    <w:p w:rsidR="003A1A81" w:rsidRDefault="003A1A81" w:rsidP="003A1A81">
      <w:pPr>
        <w:pStyle w:val="ListParagraph"/>
        <w:rPr>
          <w:sz w:val="24"/>
          <w:szCs w:val="24"/>
        </w:rPr>
      </w:pPr>
    </w:p>
    <w:p w:rsidR="003A1A81" w:rsidRDefault="003A1A81" w:rsidP="003A1A8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Explain what a bull’s eye sign is?</w:t>
      </w:r>
    </w:p>
    <w:p w:rsidR="003A1A81" w:rsidRPr="003A1A81" w:rsidRDefault="003A1A81" w:rsidP="003A1A81">
      <w:pPr>
        <w:pStyle w:val="ListParagraph"/>
        <w:rPr>
          <w:sz w:val="24"/>
          <w:szCs w:val="24"/>
        </w:rPr>
      </w:pPr>
    </w:p>
    <w:p w:rsidR="003A1A81" w:rsidRPr="003A1A81" w:rsidRDefault="003A1A81" w:rsidP="003A1A81">
      <w:pPr>
        <w:pStyle w:val="ListParagraph"/>
        <w:rPr>
          <w:color w:val="FF0000"/>
          <w:sz w:val="24"/>
          <w:szCs w:val="24"/>
        </w:rPr>
      </w:pPr>
      <w:r w:rsidRPr="003A1A81">
        <w:rPr>
          <w:rFonts w:eastAsia="Times New Roman" w:cs="Times New Roman"/>
          <w:color w:val="FF0000"/>
          <w:sz w:val="24"/>
          <w:szCs w:val="24"/>
        </w:rPr>
        <w:t>A</w:t>
      </w:r>
      <w:r w:rsidRPr="003A1A81">
        <w:rPr>
          <w:rFonts w:eastAsia="Times New Roman" w:cs="Times New Roman"/>
          <w:color w:val="FF0000"/>
          <w:sz w:val="24"/>
          <w:szCs w:val="24"/>
        </w:rPr>
        <w:t xml:space="preserve">pex </w:t>
      </w:r>
      <w:r w:rsidRPr="00143A23">
        <w:rPr>
          <w:rFonts w:eastAsia="Times New Roman" w:cs="Times New Roman"/>
          <w:color w:val="FF0000"/>
          <w:sz w:val="24"/>
          <w:szCs w:val="24"/>
        </w:rPr>
        <w:t>of the heart in the center of the pericardial fluid</w:t>
      </w:r>
    </w:p>
    <w:p w:rsidR="003A1A81" w:rsidRPr="003A1A81" w:rsidRDefault="003A1A81" w:rsidP="003A1A81">
      <w:pPr>
        <w:pStyle w:val="ListParagraph"/>
        <w:rPr>
          <w:sz w:val="24"/>
          <w:szCs w:val="24"/>
        </w:rPr>
      </w:pPr>
    </w:p>
    <w:p w:rsidR="003A1A81" w:rsidRPr="003A1A81" w:rsidRDefault="003A1A81" w:rsidP="003A1A8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T or </w:t>
      </w:r>
      <w:r w:rsidRPr="003A1A81">
        <w:rPr>
          <w:color w:val="FF0000"/>
          <w:sz w:val="24"/>
          <w:szCs w:val="24"/>
        </w:rPr>
        <w:t>F:</w:t>
      </w:r>
      <w:r>
        <w:rPr>
          <w:sz w:val="24"/>
          <w:szCs w:val="24"/>
        </w:rPr>
        <w:t xml:space="preserve"> </w:t>
      </w:r>
      <w:r w:rsidRPr="003A1A81">
        <w:rPr>
          <w:sz w:val="24"/>
          <w:szCs w:val="24"/>
        </w:rPr>
        <w:t>Waving or collapse with diastole</w:t>
      </w:r>
      <w:r>
        <w:rPr>
          <w:sz w:val="24"/>
          <w:szCs w:val="24"/>
        </w:rPr>
        <w:t xml:space="preserve"> of the </w:t>
      </w:r>
      <w:r w:rsidRPr="003A1A81">
        <w:rPr>
          <w:color w:val="FF0000"/>
          <w:sz w:val="24"/>
          <w:szCs w:val="24"/>
        </w:rPr>
        <w:t>right</w:t>
      </w:r>
      <w:r w:rsidRPr="003A1A81">
        <w:rPr>
          <w:sz w:val="24"/>
          <w:szCs w:val="24"/>
        </w:rPr>
        <w:t xml:space="preserve"> atrial free wall </w:t>
      </w:r>
      <w:r>
        <w:rPr>
          <w:sz w:val="24"/>
          <w:szCs w:val="24"/>
        </w:rPr>
        <w:t>can be seen in cardiac tamponade</w:t>
      </w:r>
    </w:p>
    <w:p w:rsidR="003A1A81" w:rsidRPr="003A1A81" w:rsidRDefault="003A1A81" w:rsidP="003A1A81">
      <w:pPr>
        <w:rPr>
          <w:sz w:val="24"/>
          <w:szCs w:val="24"/>
        </w:rPr>
      </w:pPr>
    </w:p>
    <w:sectPr w:rsidR="003A1A81" w:rsidRPr="003A1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C5C77"/>
    <w:multiLevelType w:val="hybridMultilevel"/>
    <w:tmpl w:val="122A1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0178"/>
    <w:multiLevelType w:val="hybridMultilevel"/>
    <w:tmpl w:val="0554B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2363F"/>
    <w:multiLevelType w:val="hybridMultilevel"/>
    <w:tmpl w:val="9DDC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F490C"/>
    <w:multiLevelType w:val="hybridMultilevel"/>
    <w:tmpl w:val="84A40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E49DF"/>
    <w:multiLevelType w:val="hybridMultilevel"/>
    <w:tmpl w:val="5F3A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A7C51"/>
    <w:multiLevelType w:val="hybridMultilevel"/>
    <w:tmpl w:val="F6CC9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90FFF"/>
    <w:multiLevelType w:val="hybridMultilevel"/>
    <w:tmpl w:val="BF00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46B78"/>
    <w:multiLevelType w:val="hybridMultilevel"/>
    <w:tmpl w:val="4FD29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51F38"/>
    <w:multiLevelType w:val="hybridMultilevel"/>
    <w:tmpl w:val="F6CC9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B353F"/>
    <w:multiLevelType w:val="hybridMultilevel"/>
    <w:tmpl w:val="007A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54EF0"/>
    <w:multiLevelType w:val="hybridMultilevel"/>
    <w:tmpl w:val="49B29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7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82"/>
    <w:rsid w:val="00143A23"/>
    <w:rsid w:val="003A1A81"/>
    <w:rsid w:val="00731526"/>
    <w:rsid w:val="00AD1682"/>
    <w:rsid w:val="00BC0671"/>
    <w:rsid w:val="00C747E5"/>
    <w:rsid w:val="00DC048D"/>
    <w:rsid w:val="00E4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959F45-7EB4-445F-BED5-9F205505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</cp:revision>
  <dcterms:created xsi:type="dcterms:W3CDTF">2016-12-12T03:17:00Z</dcterms:created>
  <dcterms:modified xsi:type="dcterms:W3CDTF">2016-12-12T04:28:00Z</dcterms:modified>
</cp:coreProperties>
</file>