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1943100"/>
            <wp:effectExtent b="0" l="0" r="0" t="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05500" cy="3876675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876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Take-Homes: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Manifestations and Complications of GIDM include Ingesta or food bolus stasis and Disruption of absorption, which leads to GERD, Esophagitis, Aspiration, Bacterial overgrowth, abdominal distention, fluid shifts, and delayed nutrition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 of GIDM include early enteral nutrition, fluid therapy aimed at avoided hypo or hypervolemia, correction of systemic abnormalities, and pharmacotherapies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The most common GI motility disorders in critically ill human and small animal veterinary patients: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esophageal dysmotility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delayed gastric emptying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functional intestinal obstruction (ie, ileus)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colonic motility abnormalities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 tract excitatory neurotransmitters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**Acetylcholine**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Primary neurotransmitter of parasympathetic system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Substance P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Neurokinin A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Serotonin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 tract inhibitory neurotransmitters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Vasoactive intestinal peptide (VIP)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Very inhibitory peptide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Somatostatin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somato-Stasis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Nitric oxide</w:t>
      </w:r>
    </w:p>
    <w:p w:rsidR="00000000" w:rsidDel="00000000" w:rsidP="00000000" w:rsidRDefault="00000000" w:rsidRPr="00000000">
      <w:pPr>
        <w:numPr>
          <w:ilvl w:val="2"/>
          <w:numId w:val="7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movement</w:t>
      </w:r>
    </w:p>
    <w:p w:rsidR="00000000" w:rsidDel="00000000" w:rsidP="00000000" w:rsidRDefault="00000000" w:rsidRPr="00000000">
      <w:pPr>
        <w:numPr>
          <w:ilvl w:val="1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GABA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Esophagus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Dogs - all skeletal muscle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Cats - distal smooth muscle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Average small intestinal transit time of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3–5 hours in healthy dogs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2–3 hours in healthy cats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GIDM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8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Complications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aspiration pneumonia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Esophagitis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feeding difficulties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increased risk of bacterial translocation and sepsis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increased intraabdominal pressure (IAP)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8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Drugs that induce esophageal inhibition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Ketamine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Benzodiazepines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Opioids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8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Delayed gastric emptying theories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Decreased motor activity “pump failure”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Increased inhibitory input “Excessive feedback”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Appears to be gaining support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8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Risk Factors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Primary GI disease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Secondary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Peritonitis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Pancreatitis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Stress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Electrolyte derangements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Metabolic/endocrine disturbances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Drugs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8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Opioids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8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Alpha-2s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8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Vasopressors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Diabetes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Hypoperfusion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Hypoxemia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Obesity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SIRS/Sepsis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Neoplasia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TBI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8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Manifestations and Complications of GIDM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Ingesta or food bolus stasis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GERD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Esophagitis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Aspiration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Bacterial overgrowth/translocation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8"/>
        </w:numPr>
        <w:spacing w:after="0" w:before="0" w:line="276" w:lineRule="auto"/>
        <w:ind w:left="288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In people with SIRS,investigators found that GIDM was associated with altered gut flora as well as with higher septic mortality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Bloat/distention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Disruption of absorption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Fluid sequestration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8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Hypovolemia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Delayed nutrition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8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Diagnostics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Nothing very good, many things have been studied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Tends mostly to be clinical suspicion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8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Treatment of underlying condition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Early nutrition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Improving blood flow to the gut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protecting the GI mucosa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reducing the risk of translocation of intestinal bacteria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stimulating motility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promoting secretion of various gut hormones and growth factors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Judicious fluid therapy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Minimize gut edema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Early ambulation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8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 supporting evidence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Correction of metabolic derangements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Normothermia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Multimodal pain management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8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Pharmacological intervention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drawing>
          <wp:inline distB="114300" distT="114300" distL="114300" distR="114300">
            <wp:extent cx="5943600" cy="222250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drawing>
          <wp:inline distB="114300" distT="114300" distL="114300" distR="114300">
            <wp:extent cx="5943600" cy="4470400"/>
            <wp:effectExtent b="0" l="0" r="0" t="0"/>
            <wp:docPr id="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Match the following GI medications with the mechanism of action (note, some drugs may have multiple matches)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Metoclopramide</w:t>
        <w:tab/>
        <w:tab/>
        <w:tab/>
        <w:tab/>
        <w:tab/>
        <w:tab/>
        <w:t xml:space="preserve">Acetylcholinesterase inhibitor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Erythromycin</w:t>
        <w:tab/>
        <w:tab/>
        <w:tab/>
        <w:tab/>
        <w:tab/>
        <w:tab/>
        <w:tab/>
        <w:t xml:space="preserve">Motilin agonist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Lidocaine</w:t>
        <w:tab/>
        <w:tab/>
        <w:tab/>
        <w:tab/>
        <w:tab/>
        <w:tab/>
        <w:tab/>
        <w:t xml:space="preserve">Direct smooth muscle stimulation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Cisapride</w:t>
        <w:tab/>
        <w:tab/>
        <w:tab/>
        <w:tab/>
        <w:tab/>
        <w:tab/>
        <w:tab/>
        <w:t xml:space="preserve">Dopaminergic antagonism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Ranitidine</w:t>
        <w:tab/>
        <w:tab/>
        <w:tab/>
        <w:tab/>
        <w:tab/>
        <w:tab/>
        <w:tab/>
        <w:t xml:space="preserve">serotonergic agonism (5HT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Serotonergic antagonism (5HT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Histamine antagonism (H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2. The average small intestinal transit time in the healthy dog is _______, compared with the healthy cat, which is _____.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3-5 hours; 4-6 hours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3-5 hours, 2-3 hours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2-3 hours, 3-5 hours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4-6 hours, 3-5 hours</w:t>
        <w:br w:type="textWrapping"/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3. Fill in the boxes</w:t>
      </w:r>
    </w:p>
    <w:tbl>
      <w:tblPr>
        <w:tblStyle w:val="Table1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GI stimulatory neurotransmitters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GI Inhibitory neurotransmitters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4. Name 6 risk factors for GI dysmotility according to both human and veterinary research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Match the following GI medications with the mechanism of action (note, some drugs may have multiple matches)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Metoclopramide</w:t>
        <w:tab/>
        <w:tab/>
        <w:tab/>
        <w:tab/>
        <w:tab/>
        <w:tab/>
        <w:t xml:space="preserve">Acetylcholinesterase inhibitor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(ranitidine)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Erythromycin</w:t>
        <w:tab/>
        <w:tab/>
        <w:tab/>
        <w:tab/>
        <w:tab/>
        <w:tab/>
        <w:tab/>
        <w:t xml:space="preserve">Motilin agonist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(Erythromycin)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Lidocaine</w:t>
        <w:tab/>
        <w:tab/>
        <w:tab/>
        <w:tab/>
        <w:tab/>
        <w:tab/>
        <w:tab/>
        <w:t xml:space="preserve">Direct smooth muscle stimulation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(Lidocaine)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Cisapride</w:t>
        <w:tab/>
        <w:tab/>
        <w:tab/>
        <w:tab/>
        <w:tab/>
        <w:tab/>
        <w:tab/>
        <w:t xml:space="preserve">Dopaminergic antagonism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(Metoclopramide, cisapride)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Ranitidine</w:t>
        <w:tab/>
        <w:tab/>
        <w:tab/>
        <w:tab/>
        <w:tab/>
        <w:tab/>
        <w:tab/>
        <w:t xml:space="preserve">serotonergic agonism (5HT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(metoclopramide, cisapride)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Serotonergic antagonism (5HT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)</w:t>
        <w:br w:type="textWrapping"/>
        <w:tab/>
        <w:tab/>
        <w:tab/>
        <w:tab/>
        <w:tab/>
        <w:tab/>
        <w:tab/>
        <w:tab/>
        <w:t xml:space="preserve">(metoclopramide, cisapride, </w:t>
      </w:r>
    </w:p>
    <w:p w:rsidR="00000000" w:rsidDel="00000000" w:rsidP="00000000" w:rsidRDefault="00000000" w:rsidRPr="00000000">
      <w:pPr>
        <w:ind w:left="5040" w:firstLine="720"/>
        <w:contextualSpacing w:val="0"/>
      </w:pPr>
      <w:r w:rsidDel="00000000" w:rsidR="00000000" w:rsidRPr="00000000">
        <w:rPr>
          <w:rtl w:val="0"/>
        </w:rPr>
        <w:t xml:space="preserve">erythromycin)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Histamine antagonism (H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(Ranitidine)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2. The average small intestinal transit time in the healthy dog is _______, compared with the healthy cat, which is _____.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3-5 hours; 4-6 hours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3-5 hours, 2-3 hours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2-3 hours, 3-5 hours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4-6 hours, 3-5 hours</w:t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3. Fill in the boxes</w:t>
      </w:r>
    </w:p>
    <w:tbl>
      <w:tblPr>
        <w:tblStyle w:val="Table2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GI stimulatory neurotransmitters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GI Inhibitory neurotransmitters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Acetylcholine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Vasoactive intestinal peptide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Substance 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Nitrous Oxide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Neurokinin 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somatostatin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Serotonin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GABA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4. Name 6 risk factors for GI dysmotility according to both human and veterinary research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  <w:t xml:space="preserve">Primary GI disease, Peritonitis, Pancreatitis,Stress,Electrolyte derangements, Metabolic/endocrine disturbances,Opioids, Alpha-2s, Vasopressors, Diabetes, Hypoperfusion, Hypoxemia, Obesity, SIRS/Sepsis, Neoplasia, TBI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2.png"/><Relationship Id="rId6" Type="http://schemas.openxmlformats.org/officeDocument/2006/relationships/image" Target="media/image05.png"/><Relationship Id="rId7" Type="http://schemas.openxmlformats.org/officeDocument/2006/relationships/image" Target="media/image03.png"/><Relationship Id="rId8" Type="http://schemas.openxmlformats.org/officeDocument/2006/relationships/image" Target="media/image07.png"/></Relationships>
</file>