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35A702" w14:textId="77777777" w:rsidR="00CD0D51" w:rsidRDefault="00CD0D51" w:rsidP="00CD0D51">
      <w:r>
        <w:t xml:space="preserve">J Vet </w:t>
      </w:r>
      <w:proofErr w:type="spellStart"/>
      <w:r>
        <w:t>Emerg</w:t>
      </w:r>
      <w:proofErr w:type="spellEnd"/>
      <w:r>
        <w:t xml:space="preserve"> </w:t>
      </w:r>
      <w:proofErr w:type="spellStart"/>
      <w:r>
        <w:t>Crit</w:t>
      </w:r>
      <w:proofErr w:type="spellEnd"/>
      <w:r>
        <w:t xml:space="preserve"> Care 2010 Oct</w:t>
      </w:r>
      <w:proofErr w:type="gramStart"/>
      <w:r>
        <w:t>;20</w:t>
      </w:r>
      <w:proofErr w:type="gramEnd"/>
      <w:r>
        <w:t>(5):509-17</w:t>
      </w:r>
    </w:p>
    <w:p w14:paraId="3054A390" w14:textId="77777777" w:rsidR="00CD0D51" w:rsidRPr="00CD0D51" w:rsidRDefault="00CD0D51" w:rsidP="00CD0D51">
      <w:pPr>
        <w:rPr>
          <w:b/>
        </w:rPr>
      </w:pPr>
      <w:r w:rsidRPr="00CD0D51">
        <w:rPr>
          <w:b/>
        </w:rPr>
        <w:t>Comparison of regular insulin infusion doses in critically ill diabetic cats: 29 cases (1999-2007)</w:t>
      </w:r>
    </w:p>
    <w:p w14:paraId="3A1388C1" w14:textId="77777777" w:rsidR="00CD0D51" w:rsidRDefault="00CD0D51" w:rsidP="00CD0D51"/>
    <w:p w14:paraId="1A722BDB" w14:textId="77777777" w:rsidR="00CD0D51" w:rsidRDefault="00CD0D51" w:rsidP="00CD0D51">
      <w:r w:rsidRPr="00CD0D51">
        <w:rPr>
          <w:b/>
        </w:rPr>
        <w:t>OBJECTIVE:</w:t>
      </w:r>
      <w:r>
        <w:t xml:space="preserve"> To compare biochemical parameters, neurologic changes, length of hospital stay, and clinical improvement in 3 groups of cats with diabetic ketosis/diabetic ketoacidosis (DK/DKA) prescribed varied doses of regular insulin as a continuous rate of infusion (CRI).</w:t>
      </w:r>
    </w:p>
    <w:p w14:paraId="29093EEF" w14:textId="77777777" w:rsidR="00CD0D51" w:rsidRDefault="00CD0D51" w:rsidP="00CD0D51"/>
    <w:p w14:paraId="62C03083" w14:textId="77777777" w:rsidR="00CD0D51" w:rsidRDefault="00CD0D51" w:rsidP="00CD0D51">
      <w:r w:rsidRPr="00CD0D51">
        <w:rPr>
          <w:b/>
        </w:rPr>
        <w:t>DESIGN:</w:t>
      </w:r>
      <w:r>
        <w:t xml:space="preserve"> Retrospective study.</w:t>
      </w:r>
    </w:p>
    <w:p w14:paraId="0211FBB1" w14:textId="77777777" w:rsidR="00CD0D51" w:rsidRDefault="00CD0D51" w:rsidP="00CD0D51"/>
    <w:p w14:paraId="06F17093" w14:textId="77777777" w:rsidR="00CD0D51" w:rsidRDefault="00CD0D51" w:rsidP="00CD0D51">
      <w:r w:rsidRPr="00CD0D51">
        <w:rPr>
          <w:b/>
        </w:rPr>
        <w:t>SETTING:</w:t>
      </w:r>
      <w:r>
        <w:t xml:space="preserve"> University teaching hospital.</w:t>
      </w:r>
    </w:p>
    <w:p w14:paraId="77785E84" w14:textId="77777777" w:rsidR="00CD0D51" w:rsidRDefault="00CD0D51" w:rsidP="00CD0D51"/>
    <w:p w14:paraId="5FCED7BE" w14:textId="77777777" w:rsidR="00CD0D51" w:rsidRDefault="00CD0D51" w:rsidP="00CD0D51">
      <w:r w:rsidRPr="00CD0D51">
        <w:rPr>
          <w:b/>
        </w:rPr>
        <w:t>ANIMALS:</w:t>
      </w:r>
      <w:r>
        <w:t xml:space="preserve"> Twenty-nine client-owned cats with DK/DKA prescribed </w:t>
      </w:r>
      <w:proofErr w:type="gramStart"/>
      <w:r>
        <w:t>a regular</w:t>
      </w:r>
      <w:proofErr w:type="gramEnd"/>
      <w:r>
        <w:t xml:space="preserve"> insulin CRI.</w:t>
      </w:r>
    </w:p>
    <w:p w14:paraId="1D377103" w14:textId="77777777" w:rsidR="00CD0D51" w:rsidRDefault="00CD0D51" w:rsidP="00CD0D51"/>
    <w:p w14:paraId="72F74386" w14:textId="77777777" w:rsidR="00CD0D51" w:rsidRDefault="00CD0D51" w:rsidP="00CD0D51">
      <w:r w:rsidRPr="00CD0D51">
        <w:rPr>
          <w:b/>
        </w:rPr>
        <w:t xml:space="preserve">INTERVENTIONS: </w:t>
      </w:r>
      <w:r>
        <w:t>Cats were grouped as follows: 7 cats each in Group 1 and 2, (prescribed 1.1 and 2.2 U/kg/d, respectively), and 15 cats in Group 3 (prescribed increasing doses as needed).</w:t>
      </w:r>
    </w:p>
    <w:p w14:paraId="12E657CE" w14:textId="77777777" w:rsidR="00CD0D51" w:rsidRDefault="00CD0D51" w:rsidP="00CD0D51"/>
    <w:p w14:paraId="740491DA" w14:textId="6E5C3B9F" w:rsidR="000D25F2" w:rsidRDefault="00CD0D51" w:rsidP="00CD0D51">
      <w:r w:rsidRPr="00CD0D51">
        <w:rPr>
          <w:b/>
        </w:rPr>
        <w:t>MEASUREMENTS AND MAIN RESULTS:</w:t>
      </w:r>
      <w:r>
        <w:t xml:space="preserve"> None of the groups received the total prescribed dose of insulin. The mean actual dose administered/kg/d ranged from 0.30 (0.21) to 0.87 (0.32) U/kg/d in Groups 1, 2, and 3. There was no difference in mean minimum blood glucose (BG) per 4 hours or change in BG from baseline per 4 hours between Groups 1 and 2 (P=0.63, 0.50). There was no difference between groups regarding the time required to reach a BG ≤ 13.9 </w:t>
      </w:r>
      <w:proofErr w:type="spellStart"/>
      <w:r>
        <w:t>mmol</w:t>
      </w:r>
      <w:proofErr w:type="spellEnd"/>
      <w:r>
        <w:t>/L (250 mg/</w:t>
      </w:r>
      <w:proofErr w:type="spellStart"/>
      <w:r>
        <w:t>dL</w:t>
      </w:r>
      <w:proofErr w:type="spellEnd"/>
      <w:r>
        <w:t>), serum phosphorus or potassium concentrations relative to baseline values (P=0.53, 0.90), length of time until urine or serum ketones were no longer detected (P=0.73), the animal commenced eating (P=0.24), or length of hospital stay (P=0.63). Four of the cats had declining mentation during hospitalization; there were no relationships between osmolality at presentation, either prescribed or administered insulin dose, and mentation changes. Three of the 4 cats with declining mentation survived. Twenty-seven of the 29 cats (93%) survived to discharge.</w:t>
      </w:r>
    </w:p>
    <w:p w14:paraId="404F207E" w14:textId="77777777" w:rsidR="00CD0D51" w:rsidRDefault="00CD0D51" w:rsidP="00CD0D51"/>
    <w:p w14:paraId="369E5A90" w14:textId="77777777" w:rsidR="009C411F" w:rsidRDefault="00CD0D51" w:rsidP="00CD0D51">
      <w:r w:rsidRPr="00CD0D51">
        <w:rPr>
          <w:b/>
        </w:rPr>
        <w:t>CONCLUSIONS:</w:t>
      </w:r>
      <w:r>
        <w:t xml:space="preserve"> In this study, prescribing the published canine dose (2.2 U/kg/d) of regular insulin to cats with DK/DKA does not appear to increase the frequency of adverse neurologic or biochemical sequelae compared with cats that are prescribed the published cat dose (1.1 U/kg/d). The use of a sliding scale for determination of infusion rates significantly reduces the amount of insulin cats receive in this setting. Determination of whether adverse sequelae would occur more frequently if cats with DK/DKA received the full insulin prescribed doses of 1.1, 2.2, or &gt;2.2 U/kg/d is warranted. Further controlled studies are necessary to determine if higher doses of insulin are associated with beneficial effects on morbidity or mortality.</w:t>
      </w:r>
    </w:p>
    <w:p w14:paraId="74052984" w14:textId="77777777" w:rsidR="003A2292" w:rsidRDefault="003A2292" w:rsidP="00CD0D51"/>
    <w:p w14:paraId="051699AE" w14:textId="77777777" w:rsidR="003A2292" w:rsidRDefault="003A2292" w:rsidP="003A2292">
      <w:pPr>
        <w:pStyle w:val="Paragraphedeliste"/>
        <w:numPr>
          <w:ilvl w:val="0"/>
          <w:numId w:val="1"/>
        </w:numPr>
      </w:pPr>
      <w:r>
        <w:t>Goal is to decrease the BG by approximately 50 mg/</w:t>
      </w:r>
      <w:proofErr w:type="spellStart"/>
      <w:r>
        <w:t>dL</w:t>
      </w:r>
      <w:proofErr w:type="spellEnd"/>
      <w:r>
        <w:t>/h) until a BG less than the feline renal</w:t>
      </w:r>
      <w:r>
        <w:rPr>
          <w:rFonts w:hint="eastAsia"/>
        </w:rPr>
        <w:t xml:space="preserve"> threshold for glucose (</w:t>
      </w:r>
      <w:r>
        <w:rPr>
          <w:rFonts w:ascii="DIN Condensed Bold" w:hAnsi="DIN Condensed Bold" w:cs="DIN Condensed Bold"/>
        </w:rPr>
        <w:t>≤</w:t>
      </w:r>
      <w:r>
        <w:rPr>
          <w:rFonts w:hint="eastAsia"/>
        </w:rPr>
        <w:t xml:space="preserve">13.9 </w:t>
      </w:r>
      <w:proofErr w:type="spellStart"/>
      <w:r>
        <w:rPr>
          <w:rFonts w:hint="eastAsia"/>
        </w:rPr>
        <w:t>mmol</w:t>
      </w:r>
      <w:proofErr w:type="spellEnd"/>
      <w:r>
        <w:rPr>
          <w:rFonts w:hint="eastAsia"/>
        </w:rPr>
        <w:t xml:space="preserve">/L, </w:t>
      </w:r>
      <w:r>
        <w:rPr>
          <w:rFonts w:ascii="DIN Condensed Bold" w:hAnsi="DIN Condensed Bold" w:cs="DIN Condensed Bold"/>
        </w:rPr>
        <w:t>≤</w:t>
      </w:r>
      <w:r>
        <w:rPr>
          <w:rFonts w:hint="eastAsia"/>
        </w:rPr>
        <w:t xml:space="preserve"> 250 mg/</w:t>
      </w:r>
      <w:proofErr w:type="spellStart"/>
      <w:r>
        <w:rPr>
          <w:rFonts w:hint="eastAsia"/>
        </w:rPr>
        <w:t>dL</w:t>
      </w:r>
      <w:proofErr w:type="spellEnd"/>
      <w:r>
        <w:rPr>
          <w:rFonts w:hint="eastAsia"/>
        </w:rPr>
        <w:t>)</w:t>
      </w:r>
      <w:r>
        <w:t xml:space="preserve"> is reached</w:t>
      </w:r>
    </w:p>
    <w:p w14:paraId="4F124AE7" w14:textId="77777777" w:rsidR="003A2292" w:rsidRDefault="003A2292" w:rsidP="003A2292">
      <w:pPr>
        <w:pStyle w:val="Paragraphedeliste"/>
        <w:numPr>
          <w:ilvl w:val="0"/>
          <w:numId w:val="1"/>
        </w:numPr>
      </w:pPr>
      <w:r>
        <w:lastRenderedPageBreak/>
        <w:t>To not want to decrease BG too fast: risk of hypokalemia, hypophosphatemia, hypomagnesaemia, cerebral edema (change in osmolality)</w:t>
      </w:r>
    </w:p>
    <w:p w14:paraId="0BD05D95" w14:textId="77777777" w:rsidR="003A2292" w:rsidRDefault="003A2292" w:rsidP="003A2292">
      <w:pPr>
        <w:pStyle w:val="Paragraphedeliste"/>
        <w:numPr>
          <w:ilvl w:val="0"/>
          <w:numId w:val="1"/>
        </w:numPr>
      </w:pPr>
      <w:r>
        <w:t>Insulin needed to abate lipolysis, the hepatic production of ketone bodies and glucose, to promote tissue uptake and metabolism of glucose</w:t>
      </w:r>
    </w:p>
    <w:p w14:paraId="53A2D28D" w14:textId="77777777" w:rsidR="003A2292" w:rsidRDefault="003A2292" w:rsidP="003A2292">
      <w:pPr>
        <w:pStyle w:val="Paragraphedeliste"/>
        <w:numPr>
          <w:ilvl w:val="0"/>
          <w:numId w:val="1"/>
        </w:numPr>
      </w:pPr>
      <w:r>
        <w:t>It appears a lower prescribed dose of regular insulin was chosen for cats because, in 1 author’s experience, cats with DKA had a higher blood osmolality on presentation than dogs with DKA, and therefore aim to decrease BG more gradually to avoid cerebral edema</w:t>
      </w:r>
    </w:p>
    <w:p w14:paraId="2874589F" w14:textId="77777777" w:rsidR="003A2292" w:rsidRDefault="003A2292" w:rsidP="003A2292">
      <w:pPr>
        <w:pStyle w:val="Paragraphedeliste"/>
        <w:numPr>
          <w:ilvl w:val="0"/>
          <w:numId w:val="1"/>
        </w:numPr>
      </w:pPr>
      <w:r>
        <w:t xml:space="preserve">They wanted to evaluate 3 dose regimens: 1.1U/kg/day or 2.2U/kg/day or starting at 1.1U/kg/day with escalating dose </w:t>
      </w:r>
      <w:r>
        <w:sym w:font="Wingdings" w:char="F0E0"/>
      </w:r>
      <w:r>
        <w:t xml:space="preserve"> they realized that cats did not receive the prescribed doses (received lower doses)</w:t>
      </w:r>
    </w:p>
    <w:p w14:paraId="127886BC" w14:textId="77777777" w:rsidR="003A2292" w:rsidRDefault="00187F45" w:rsidP="003A2292">
      <w:pPr>
        <w:pStyle w:val="Paragraphedeliste"/>
        <w:numPr>
          <w:ilvl w:val="0"/>
          <w:numId w:val="1"/>
        </w:numPr>
      </w:pPr>
      <w:r>
        <w:t>7 cats in group 1, 7 cats in group 2, 15 cats in group 3</w:t>
      </w:r>
    </w:p>
    <w:p w14:paraId="34D58BE7" w14:textId="77777777" w:rsidR="00187F45" w:rsidRDefault="00187F45" w:rsidP="003A2292">
      <w:pPr>
        <w:pStyle w:val="Paragraphedeliste"/>
        <w:numPr>
          <w:ilvl w:val="0"/>
          <w:numId w:val="1"/>
        </w:numPr>
      </w:pPr>
      <w:r>
        <w:t>They also did post hoc analysis where they took 10 cats with the highest dose of insulin received and 10 cats with the lowest dose received</w:t>
      </w:r>
    </w:p>
    <w:p w14:paraId="7F64D9D5" w14:textId="77777777" w:rsidR="00187F45" w:rsidRDefault="00187F45" w:rsidP="00187F45">
      <w:pPr>
        <w:pStyle w:val="Paragraphedeliste"/>
        <w:numPr>
          <w:ilvl w:val="0"/>
          <w:numId w:val="1"/>
        </w:numPr>
      </w:pPr>
      <w:r>
        <w:t>They found that:</w:t>
      </w:r>
    </w:p>
    <w:p w14:paraId="5B05B411" w14:textId="77777777" w:rsidR="00187F45" w:rsidRDefault="00187F45" w:rsidP="00187F45">
      <w:pPr>
        <w:pStyle w:val="Paragraphedeliste"/>
        <w:numPr>
          <w:ilvl w:val="1"/>
          <w:numId w:val="1"/>
        </w:numPr>
      </w:pPr>
      <w:r>
        <w:t>No difference in biochemical parameters, neurologic function, duration of care between groups</w:t>
      </w:r>
    </w:p>
    <w:p w14:paraId="04D9DB67" w14:textId="77777777" w:rsidR="00187F45" w:rsidRDefault="00187F45" w:rsidP="00187F45">
      <w:pPr>
        <w:pStyle w:val="Paragraphedeliste"/>
        <w:numPr>
          <w:ilvl w:val="1"/>
          <w:numId w:val="1"/>
        </w:numPr>
      </w:pPr>
      <w:r>
        <w:t>Most cats did not receive the entire prescribed daily dose</w:t>
      </w:r>
    </w:p>
    <w:p w14:paraId="34C2AF1F" w14:textId="77777777" w:rsidR="00187F45" w:rsidRDefault="00187F45" w:rsidP="00187F45">
      <w:pPr>
        <w:pStyle w:val="Paragraphedeliste"/>
        <w:numPr>
          <w:ilvl w:val="1"/>
          <w:numId w:val="1"/>
        </w:numPr>
      </w:pPr>
      <w:r>
        <w:t xml:space="preserve">Maybe cats in group 1 were healthier than cats in group 2 (eating sooner, average normal pH, higher bicarbonate, higher HR, less hypothermic, less underweight than group 2) – same recovery times, no clinically apparent adverse effects in cats prescribed higher doses </w:t>
      </w:r>
      <w:proofErr w:type="spellStart"/>
      <w:r>
        <w:t>vs</w:t>
      </w:r>
      <w:proofErr w:type="spellEnd"/>
      <w:r>
        <w:t xml:space="preserve"> lower doses</w:t>
      </w:r>
    </w:p>
    <w:p w14:paraId="2BC514A6" w14:textId="77777777" w:rsidR="00187F45" w:rsidRDefault="00187F45" w:rsidP="00187F45">
      <w:pPr>
        <w:pStyle w:val="Paragraphedeliste"/>
        <w:numPr>
          <w:ilvl w:val="1"/>
          <w:numId w:val="1"/>
        </w:numPr>
      </w:pPr>
      <w:r>
        <w:t xml:space="preserve">There was no difference between groups regarding the time </w:t>
      </w:r>
      <w:r>
        <w:rPr>
          <w:rFonts w:hint="eastAsia"/>
        </w:rPr>
        <w:t xml:space="preserve">required to reach a BG </w:t>
      </w:r>
      <w:r>
        <w:rPr>
          <w:rFonts w:ascii="DIN Condensed Bold" w:hAnsi="DIN Condensed Bold" w:cs="DIN Condensed Bold"/>
        </w:rPr>
        <w:t>≤</w:t>
      </w:r>
      <w:r>
        <w:rPr>
          <w:rFonts w:hint="eastAsia"/>
        </w:rPr>
        <w:t xml:space="preserve"> 13.9 </w:t>
      </w:r>
      <w:proofErr w:type="spellStart"/>
      <w:r>
        <w:rPr>
          <w:rFonts w:hint="eastAsia"/>
        </w:rPr>
        <w:t>mmol</w:t>
      </w:r>
      <w:proofErr w:type="spellEnd"/>
      <w:r>
        <w:rPr>
          <w:rFonts w:hint="eastAsia"/>
        </w:rPr>
        <w:t>/L, serum phosphorus or potassium concentrations relative</w:t>
      </w:r>
      <w:r>
        <w:t xml:space="preserve"> to   baseline   values, length of time until urine or serum ketones   were no longer detected, the animal commenced eating, or length of hospital stay</w:t>
      </w:r>
    </w:p>
    <w:p w14:paraId="42B5FCB8" w14:textId="77777777" w:rsidR="00187F45" w:rsidRDefault="00187F45" w:rsidP="00187F45">
      <w:pPr>
        <w:pStyle w:val="Paragraphedeliste"/>
        <w:numPr>
          <w:ilvl w:val="1"/>
          <w:numId w:val="1"/>
        </w:numPr>
      </w:pPr>
      <w:r>
        <w:t xml:space="preserve">Four of the cats had declining mentation during hospitalization; there were no relationships between osmolality at presentation, either prescribed or administered insulin dose, and mentation changes. </w:t>
      </w:r>
    </w:p>
    <w:p w14:paraId="5AAD0592" w14:textId="77777777" w:rsidR="00306C59" w:rsidRDefault="00306C59" w:rsidP="00306C59">
      <w:pPr>
        <w:pStyle w:val="Paragraphedeliste"/>
        <w:numPr>
          <w:ilvl w:val="0"/>
          <w:numId w:val="1"/>
        </w:numPr>
      </w:pPr>
      <w:r>
        <w:t>The   data   from   this study   does   not   support   the   notion   that   prescribing</w:t>
      </w:r>
    </w:p>
    <w:p w14:paraId="3ABB8D01" w14:textId="77777777" w:rsidR="00306C59" w:rsidRPr="00306C59" w:rsidRDefault="00306C59" w:rsidP="00306C59">
      <w:pPr>
        <w:pStyle w:val="Paragraphedeliste"/>
        <w:numPr>
          <w:ilvl w:val="0"/>
          <w:numId w:val="1"/>
        </w:numPr>
      </w:pPr>
      <w:r>
        <w:t xml:space="preserve"> 2.2 U/kg/d of regular insulin in cats (versus the widely utilized 1.1 U/kg/d) is more likely to lead to a rapid decrease in BG and free water shifts with subsequent cerebral edema, or </w:t>
      </w:r>
      <w:proofErr w:type="spellStart"/>
      <w:r>
        <w:t>transcellular</w:t>
      </w:r>
      <w:proofErr w:type="spellEnd"/>
      <w:r>
        <w:t xml:space="preserve"> electrolyte shifts with subsequent hypokalemia and hypophosphatemia – </w:t>
      </w:r>
      <w:r>
        <w:rPr>
          <w:b/>
        </w:rPr>
        <w:t>though cats did not receive the prescribed doses…</w:t>
      </w:r>
    </w:p>
    <w:p w14:paraId="481D2678" w14:textId="64F246BC" w:rsidR="00187F45" w:rsidRPr="000D25F2" w:rsidRDefault="00306C59" w:rsidP="00306C59">
      <w:pPr>
        <w:pStyle w:val="Paragraphedeliste"/>
        <w:numPr>
          <w:ilvl w:val="0"/>
          <w:numId w:val="1"/>
        </w:numPr>
      </w:pPr>
      <w:r>
        <w:t xml:space="preserve">When they compared the cats with the highest doses received </w:t>
      </w:r>
      <w:r w:rsidR="00953158">
        <w:t xml:space="preserve">(0.8 U/kg/d) </w:t>
      </w:r>
      <w:r>
        <w:t xml:space="preserve">and the lowest doses received </w:t>
      </w:r>
      <w:r w:rsidR="00953158">
        <w:t xml:space="preserve">(0.31 U/kg/d) </w:t>
      </w:r>
      <w:r>
        <w:t xml:space="preserve">they found that the frequency with which declining mentation or mortality was observed was not different between the groups – </w:t>
      </w:r>
      <w:r>
        <w:rPr>
          <w:b/>
        </w:rPr>
        <w:t xml:space="preserve">underpowered </w:t>
      </w:r>
    </w:p>
    <w:p w14:paraId="63684476" w14:textId="77777777" w:rsidR="000D25F2" w:rsidRDefault="000D25F2" w:rsidP="000D25F2"/>
    <w:p w14:paraId="1BC2885D" w14:textId="2EDF2E4C" w:rsidR="000D25F2" w:rsidRPr="00306C59" w:rsidRDefault="000D25F2" w:rsidP="000D25F2">
      <w:r>
        <w:t>***Bottom line: We don’t know which dose of insulin is the best to treat cats in DKA</w:t>
      </w:r>
      <w:r w:rsidR="00953158">
        <w:t>. They usually receive less than what is prescribed. When they compared higher doses with lower doses they did not see</w:t>
      </w:r>
      <w:r w:rsidR="00BF3C44">
        <w:t xml:space="preserve"> more decline in mentation in the cats that received higher doses though </w:t>
      </w:r>
      <w:proofErr w:type="spellStart"/>
      <w:r w:rsidR="00BF3C44">
        <w:t>underpower</w:t>
      </w:r>
      <w:proofErr w:type="spellEnd"/>
      <w:r w:rsidR="00BF3C44">
        <w:t xml:space="preserve"> to see difference.</w:t>
      </w:r>
      <w:bookmarkStart w:id="0" w:name="_GoBack"/>
      <w:bookmarkEnd w:id="0"/>
    </w:p>
    <w:p w14:paraId="2159B1E5" w14:textId="77777777" w:rsidR="00306C59" w:rsidRDefault="00306C59" w:rsidP="00306C59"/>
    <w:p w14:paraId="090A720A" w14:textId="77777777" w:rsidR="00306C59" w:rsidRDefault="00306C59" w:rsidP="00306C59">
      <w:pPr>
        <w:rPr>
          <w:b/>
        </w:rPr>
      </w:pPr>
      <w:r>
        <w:rPr>
          <w:b/>
        </w:rPr>
        <w:t>Cerebral edema and DKA</w:t>
      </w:r>
    </w:p>
    <w:p w14:paraId="70C5A6EC" w14:textId="77777777" w:rsidR="00E57E2C" w:rsidRPr="00E57E2C" w:rsidRDefault="00E57E2C" w:rsidP="00E57E2C">
      <w:pPr>
        <w:pStyle w:val="Paragraphedeliste"/>
        <w:numPr>
          <w:ilvl w:val="0"/>
          <w:numId w:val="3"/>
        </w:numPr>
        <w:rPr>
          <w:b/>
        </w:rPr>
      </w:pPr>
      <w:r>
        <w:rPr>
          <w:rFonts w:eastAsia="Times New Roman" w:cs="Times New Roman"/>
        </w:rPr>
        <w:t xml:space="preserve">Clinically significant cerebral edema occurs in approximately 1 % of episodes of DKA in </w:t>
      </w:r>
      <w:r w:rsidRPr="00E57E2C">
        <w:rPr>
          <w:rFonts w:eastAsia="Times New Roman" w:cs="Times New Roman"/>
          <w:b/>
        </w:rPr>
        <w:t>children</w:t>
      </w:r>
      <w:r>
        <w:rPr>
          <w:rFonts w:eastAsia="Times New Roman" w:cs="Times New Roman"/>
        </w:rPr>
        <w:t xml:space="preserve"> and has a mortality rate of 20 to 90%</w:t>
      </w:r>
      <w:r w:rsidR="00EC1EDB">
        <w:rPr>
          <w:rFonts w:eastAsia="Times New Roman" w:cs="Times New Roman"/>
        </w:rPr>
        <w:t>; not common in adult</w:t>
      </w:r>
    </w:p>
    <w:p w14:paraId="69A19BE6" w14:textId="77777777" w:rsidR="00E57E2C" w:rsidRPr="00E57E2C" w:rsidRDefault="00E57E2C" w:rsidP="00E57E2C">
      <w:pPr>
        <w:pStyle w:val="Paragraphedeliste"/>
        <w:numPr>
          <w:ilvl w:val="0"/>
          <w:numId w:val="3"/>
        </w:numPr>
        <w:rPr>
          <w:b/>
        </w:rPr>
      </w:pPr>
      <w:r>
        <w:rPr>
          <w:rFonts w:eastAsia="Times New Roman" w:cs="Times New Roman"/>
        </w:rPr>
        <w:t>Risk factors in children:</w:t>
      </w:r>
    </w:p>
    <w:p w14:paraId="77E6C39B" w14:textId="77777777" w:rsidR="00E57E2C" w:rsidRPr="00E57E2C" w:rsidRDefault="00E57E2C" w:rsidP="00E57E2C">
      <w:pPr>
        <w:pStyle w:val="Paragraphedeliste"/>
        <w:numPr>
          <w:ilvl w:val="1"/>
          <w:numId w:val="3"/>
        </w:numPr>
        <w:rPr>
          <w:b/>
        </w:rPr>
      </w:pPr>
      <w:r>
        <w:rPr>
          <w:rFonts w:eastAsia="Times New Roman" w:cs="Times New Roman"/>
        </w:rPr>
        <w:t>Younger age</w:t>
      </w:r>
    </w:p>
    <w:p w14:paraId="6AEB1794" w14:textId="77777777" w:rsidR="00E57E2C" w:rsidRPr="00E57E2C" w:rsidRDefault="00E57E2C" w:rsidP="00E57E2C">
      <w:pPr>
        <w:pStyle w:val="Paragraphedeliste"/>
        <w:numPr>
          <w:ilvl w:val="1"/>
          <w:numId w:val="3"/>
        </w:numPr>
        <w:rPr>
          <w:b/>
        </w:rPr>
      </w:pPr>
      <w:r>
        <w:rPr>
          <w:rFonts w:eastAsia="Times New Roman" w:cs="Times New Roman"/>
        </w:rPr>
        <w:t>Severity of acidosis</w:t>
      </w:r>
    </w:p>
    <w:p w14:paraId="57F475C9" w14:textId="77777777" w:rsidR="00E57E2C" w:rsidRPr="00E57E2C" w:rsidRDefault="00E57E2C" w:rsidP="00E57E2C">
      <w:pPr>
        <w:pStyle w:val="Paragraphedeliste"/>
        <w:numPr>
          <w:ilvl w:val="1"/>
          <w:numId w:val="3"/>
        </w:numPr>
        <w:rPr>
          <w:b/>
        </w:rPr>
      </w:pPr>
      <w:r>
        <w:rPr>
          <w:rFonts w:eastAsia="Times New Roman" w:cs="Times New Roman"/>
        </w:rPr>
        <w:t>Failure of the Na+ to rise following insulin therapy and fluid therapy</w:t>
      </w:r>
    </w:p>
    <w:p w14:paraId="585784F2" w14:textId="77777777" w:rsidR="00E57E2C" w:rsidRDefault="00E57E2C" w:rsidP="00E57E2C">
      <w:pPr>
        <w:pStyle w:val="Paragraphedeliste"/>
        <w:numPr>
          <w:ilvl w:val="1"/>
          <w:numId w:val="3"/>
        </w:numPr>
      </w:pPr>
      <w:r w:rsidRPr="00E57E2C">
        <w:t>Increased BUN</w:t>
      </w:r>
    </w:p>
    <w:p w14:paraId="30942B74" w14:textId="77777777" w:rsidR="00E57E2C" w:rsidRDefault="00E57E2C" w:rsidP="00E57E2C">
      <w:pPr>
        <w:pStyle w:val="Paragraphedeliste"/>
        <w:numPr>
          <w:ilvl w:val="1"/>
          <w:numId w:val="3"/>
        </w:numPr>
      </w:pPr>
      <w:r>
        <w:t>Use of bicarbonate</w:t>
      </w:r>
    </w:p>
    <w:p w14:paraId="3F53DE6D" w14:textId="77777777" w:rsidR="00E57E2C" w:rsidRPr="00EC1EDB" w:rsidRDefault="00E57E2C" w:rsidP="00E57E2C">
      <w:pPr>
        <w:pStyle w:val="Paragraphedeliste"/>
        <w:numPr>
          <w:ilvl w:val="1"/>
          <w:numId w:val="3"/>
        </w:numPr>
      </w:pPr>
      <w:r>
        <w:t>After adjusting for severity of acidosis: lower PaCO</w:t>
      </w:r>
      <w:r>
        <w:rPr>
          <w:vertAlign w:val="subscript"/>
        </w:rPr>
        <w:t>2</w:t>
      </w:r>
    </w:p>
    <w:p w14:paraId="0F88DAE9" w14:textId="77777777" w:rsidR="00306C59" w:rsidRPr="00306C59" w:rsidRDefault="00306C59" w:rsidP="00306C59">
      <w:pPr>
        <w:pStyle w:val="Paragraphedeliste"/>
        <w:numPr>
          <w:ilvl w:val="0"/>
          <w:numId w:val="2"/>
        </w:numPr>
        <w:rPr>
          <w:b/>
        </w:rPr>
      </w:pPr>
      <w:r>
        <w:t>Causes – not fully understood</w:t>
      </w:r>
    </w:p>
    <w:p w14:paraId="1042D1EC" w14:textId="77777777" w:rsidR="00306C59" w:rsidRPr="00306C59" w:rsidRDefault="00306C59" w:rsidP="00306C59">
      <w:pPr>
        <w:pStyle w:val="Paragraphedeliste"/>
        <w:numPr>
          <w:ilvl w:val="0"/>
          <w:numId w:val="2"/>
        </w:numPr>
        <w:rPr>
          <w:b/>
        </w:rPr>
      </w:pPr>
      <w:r>
        <w:t>Most likely to occur between 4-12h after starting Tx; may occur any time w/in first 24h of tx – rarely before initiation of tx and rarely after first 24h</w:t>
      </w:r>
    </w:p>
    <w:p w14:paraId="6E7C03D4" w14:textId="77777777" w:rsidR="00306C59" w:rsidRPr="00306C59" w:rsidRDefault="00306C59" w:rsidP="00306C59">
      <w:pPr>
        <w:pStyle w:val="Paragraphedeliste"/>
        <w:numPr>
          <w:ilvl w:val="0"/>
          <w:numId w:val="2"/>
        </w:numPr>
        <w:rPr>
          <w:b/>
        </w:rPr>
      </w:pPr>
      <w:r>
        <w:t>Proposed mechanisms:</w:t>
      </w:r>
    </w:p>
    <w:p w14:paraId="26ABC597" w14:textId="77777777" w:rsidR="00306C59" w:rsidRPr="009B29BB" w:rsidRDefault="009B29BB" w:rsidP="00306C59">
      <w:pPr>
        <w:pStyle w:val="Paragraphedeliste"/>
        <w:numPr>
          <w:ilvl w:val="1"/>
          <w:numId w:val="2"/>
        </w:numPr>
        <w:rPr>
          <w:b/>
        </w:rPr>
      </w:pPr>
      <w:r>
        <w:t xml:space="preserve">Ischemia/cytotoxic edema </w:t>
      </w:r>
    </w:p>
    <w:p w14:paraId="26C80926" w14:textId="77777777" w:rsidR="009B29BB" w:rsidRPr="009B29BB" w:rsidRDefault="009B29BB" w:rsidP="00306C59">
      <w:pPr>
        <w:pStyle w:val="Paragraphedeliste"/>
        <w:numPr>
          <w:ilvl w:val="1"/>
          <w:numId w:val="2"/>
        </w:numPr>
        <w:rPr>
          <w:b/>
        </w:rPr>
      </w:pPr>
      <w:proofErr w:type="spellStart"/>
      <w:r>
        <w:t>Vasogenic</w:t>
      </w:r>
      <w:proofErr w:type="spellEnd"/>
      <w:r>
        <w:t xml:space="preserve"> edema – primary damage to cerebral vascular endothelium </w:t>
      </w:r>
      <w:r>
        <w:sym w:font="Wingdings" w:char="F0E0"/>
      </w:r>
      <w:r w:rsidR="00E57E2C">
        <w:t xml:space="preserve"> increase in BBB permeability (ketone bodies may damage BBB),</w:t>
      </w:r>
      <w:r>
        <w:t xml:space="preserve"> disturbance</w:t>
      </w:r>
      <w:r w:rsidR="00E57E2C">
        <w:t>s</w:t>
      </w:r>
      <w:r>
        <w:t xml:space="preserve"> in autoregulation (with increase in CBF) </w:t>
      </w:r>
      <w:r>
        <w:sym w:font="Wingdings" w:char="F0E0"/>
      </w:r>
      <w:r>
        <w:t> abnormal diffusion of IV fluids into cerebral tissues</w:t>
      </w:r>
    </w:p>
    <w:p w14:paraId="6313C1BB" w14:textId="77777777" w:rsidR="00306C59" w:rsidRPr="00EC1EDB" w:rsidRDefault="009B29BB" w:rsidP="00306C59">
      <w:pPr>
        <w:pStyle w:val="Paragraphedeliste"/>
        <w:numPr>
          <w:ilvl w:val="1"/>
          <w:numId w:val="2"/>
        </w:numPr>
        <w:rPr>
          <w:b/>
        </w:rPr>
      </w:pPr>
      <w:r>
        <w:t>Osmotic edema – edema developing due to osmotic changes and fluid shifts</w:t>
      </w:r>
      <w:r w:rsidR="00EC1EDB">
        <w:t xml:space="preserve"> that occur during T</w:t>
      </w:r>
      <w:r>
        <w:t xml:space="preserve">x </w:t>
      </w:r>
      <w:proofErr w:type="gramStart"/>
      <w:r>
        <w:t>- !</w:t>
      </w:r>
      <w:proofErr w:type="gramEnd"/>
      <w:r>
        <w:t>!! S</w:t>
      </w:r>
      <w:r w:rsidR="00306C59">
        <w:t xml:space="preserve">ubstantial </w:t>
      </w:r>
      <w:proofErr w:type="spellStart"/>
      <w:r w:rsidR="00306C59">
        <w:t>osmotic</w:t>
      </w:r>
      <w:proofErr w:type="spellEnd"/>
      <w:r w:rsidR="00306C59">
        <w:t xml:space="preserve"> shifts </w:t>
      </w:r>
      <w:proofErr w:type="spellStart"/>
      <w:r w:rsidR="00306C59">
        <w:t>occur</w:t>
      </w:r>
      <w:proofErr w:type="spellEnd"/>
      <w:r w:rsidR="00306C59">
        <w:t xml:space="preserve"> in all patients </w:t>
      </w:r>
      <w:proofErr w:type="spellStart"/>
      <w:r w:rsidR="00306C59">
        <w:t>during</w:t>
      </w:r>
      <w:proofErr w:type="spellEnd"/>
      <w:r w:rsidR="00306C59">
        <w:t xml:space="preserve"> </w:t>
      </w:r>
      <w:proofErr w:type="spellStart"/>
      <w:r w:rsidR="00306C59">
        <w:t>treatment</w:t>
      </w:r>
      <w:proofErr w:type="spellEnd"/>
      <w:r w:rsidR="00306C59">
        <w:t xml:space="preserve"> for DKA, </w:t>
      </w:r>
      <w:proofErr w:type="spellStart"/>
      <w:r w:rsidR="00306C59">
        <w:t>yet</w:t>
      </w:r>
      <w:proofErr w:type="spellEnd"/>
      <w:r w:rsidR="00306C59">
        <w:t xml:space="preserve"> </w:t>
      </w:r>
      <w:proofErr w:type="spellStart"/>
      <w:r w:rsidR="00306C59">
        <w:t>cerebral</w:t>
      </w:r>
      <w:proofErr w:type="spellEnd"/>
      <w:r w:rsidR="00306C59">
        <w:t xml:space="preserve"> edema </w:t>
      </w:r>
      <w:proofErr w:type="spellStart"/>
      <w:r w:rsidR="00306C59">
        <w:t>develops</w:t>
      </w:r>
      <w:proofErr w:type="spellEnd"/>
      <w:r w:rsidR="00306C59">
        <w:t xml:space="preserve"> in a </w:t>
      </w:r>
      <w:proofErr w:type="spellStart"/>
      <w:r w:rsidR="00306C59">
        <w:t>small</w:t>
      </w:r>
      <w:proofErr w:type="spellEnd"/>
      <w:r w:rsidR="00306C59">
        <w:t xml:space="preserve"> </w:t>
      </w:r>
      <w:proofErr w:type="spellStart"/>
      <w:r w:rsidR="00306C59">
        <w:t>minority</w:t>
      </w:r>
      <w:proofErr w:type="spellEnd"/>
      <w:r w:rsidR="00306C59">
        <w:t xml:space="preserve"> of patients</w:t>
      </w:r>
      <w:r>
        <w:t>!!!</w:t>
      </w:r>
    </w:p>
    <w:p w14:paraId="07FC155A" w14:textId="77777777" w:rsidR="00EC1EDB" w:rsidRPr="009B29BB" w:rsidRDefault="00EC1EDB" w:rsidP="000D25F2">
      <w:pPr>
        <w:pStyle w:val="Paragraphedeliste"/>
        <w:ind w:left="1440"/>
        <w:rPr>
          <w:b/>
        </w:rPr>
      </w:pPr>
    </w:p>
    <w:p w14:paraId="6CCBDF2E" w14:textId="77777777" w:rsidR="00306C59" w:rsidRPr="00306C59" w:rsidRDefault="00306C59" w:rsidP="00306C59">
      <w:pPr>
        <w:rPr>
          <w:b/>
        </w:rPr>
      </w:pPr>
    </w:p>
    <w:p w14:paraId="643DDE78" w14:textId="77777777" w:rsidR="00187F45" w:rsidRDefault="00187F45" w:rsidP="00187F45"/>
    <w:p w14:paraId="348C9E0D" w14:textId="77777777" w:rsidR="00CD0D51" w:rsidRDefault="00CD0D51" w:rsidP="00CD0D51"/>
    <w:sectPr w:rsidR="00CD0D51" w:rsidSect="00437961">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DIN Condensed Bold">
    <w:panose1 w:val="00000500000000000000"/>
    <w:charset w:val="00"/>
    <w:family w:val="auto"/>
    <w:pitch w:val="variable"/>
    <w:sig w:usb0="800000AF" w:usb1="5000204A"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055EC"/>
    <w:multiLevelType w:val="hybridMultilevel"/>
    <w:tmpl w:val="336075B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F252D55"/>
    <w:multiLevelType w:val="hybridMultilevel"/>
    <w:tmpl w:val="A216C85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C1346F8"/>
    <w:multiLevelType w:val="hybridMultilevel"/>
    <w:tmpl w:val="9E58062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D51"/>
    <w:rsid w:val="000D25F2"/>
    <w:rsid w:val="00187F45"/>
    <w:rsid w:val="002C4D29"/>
    <w:rsid w:val="00306C59"/>
    <w:rsid w:val="003A2292"/>
    <w:rsid w:val="00437961"/>
    <w:rsid w:val="00953158"/>
    <w:rsid w:val="009B29BB"/>
    <w:rsid w:val="009C411F"/>
    <w:rsid w:val="00BF3C44"/>
    <w:rsid w:val="00CD0D51"/>
    <w:rsid w:val="00DE0BD5"/>
    <w:rsid w:val="00E57E2C"/>
    <w:rsid w:val="00EC1EDB"/>
    <w:rsid w:val="00FC4D7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526838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A2292"/>
    <w:pPr>
      <w:ind w:left="720"/>
      <w:contextualSpacing/>
    </w:pPr>
  </w:style>
  <w:style w:type="paragraph" w:customStyle="1" w:styleId="headinganchor">
    <w:name w:val="headinganchor"/>
    <w:basedOn w:val="Normal"/>
    <w:rsid w:val="00306C59"/>
    <w:pPr>
      <w:spacing w:before="100" w:beforeAutospacing="1" w:after="100" w:afterAutospacing="1"/>
    </w:pPr>
    <w:rPr>
      <w:rFonts w:ascii="Times" w:hAnsi="Times"/>
      <w:sz w:val="20"/>
      <w:szCs w:val="20"/>
      <w:lang w:val="fr-FR"/>
    </w:rPr>
  </w:style>
  <w:style w:type="character" w:customStyle="1" w:styleId="h1">
    <w:name w:val="h1"/>
    <w:basedOn w:val="Policepardfaut"/>
    <w:rsid w:val="00306C59"/>
  </w:style>
  <w:style w:type="character" w:customStyle="1" w:styleId="headingendmark">
    <w:name w:val="headingendmark"/>
    <w:basedOn w:val="Policepardfaut"/>
    <w:rsid w:val="00306C59"/>
  </w:style>
  <w:style w:type="character" w:styleId="Lienhypertexte">
    <w:name w:val="Hyperlink"/>
    <w:basedOn w:val="Policepardfaut"/>
    <w:uiPriority w:val="99"/>
    <w:semiHidden/>
    <w:unhideWhenUsed/>
    <w:rsid w:val="00306C59"/>
    <w:rPr>
      <w:color w:val="0000FF"/>
      <w:u w:val="single"/>
    </w:rPr>
  </w:style>
  <w:style w:type="paragraph" w:styleId="NormalWeb">
    <w:name w:val="Normal (Web)"/>
    <w:basedOn w:val="Normal"/>
    <w:uiPriority w:val="99"/>
    <w:semiHidden/>
    <w:unhideWhenUsed/>
    <w:rsid w:val="00306C59"/>
    <w:pPr>
      <w:spacing w:before="100" w:beforeAutospacing="1" w:after="100" w:afterAutospacing="1"/>
    </w:pPr>
    <w:rPr>
      <w:rFonts w:ascii="Times" w:hAnsi="Times" w:cs="Times New Roman"/>
      <w:sz w:val="20"/>
      <w:szCs w:val="20"/>
      <w:lang w:val="fr-FR"/>
    </w:rPr>
  </w:style>
  <w:style w:type="character" w:customStyle="1" w:styleId="h2">
    <w:name w:val="h2"/>
    <w:basedOn w:val="Policepardfaut"/>
    <w:rsid w:val="00306C59"/>
  </w:style>
  <w:style w:type="character" w:customStyle="1" w:styleId="h3">
    <w:name w:val="h3"/>
    <w:basedOn w:val="Policepardfaut"/>
    <w:rsid w:val="00306C59"/>
  </w:style>
  <w:style w:type="paragraph" w:customStyle="1" w:styleId="bulletindent1">
    <w:name w:val="bulletindent1"/>
    <w:basedOn w:val="Normal"/>
    <w:rsid w:val="00306C59"/>
    <w:pPr>
      <w:spacing w:before="100" w:beforeAutospacing="1" w:after="100" w:afterAutospacing="1"/>
    </w:pPr>
    <w:rPr>
      <w:rFonts w:ascii="Times" w:hAnsi="Times"/>
      <w:sz w:val="20"/>
      <w:szCs w:val="20"/>
      <w:lang w:val="fr-FR"/>
    </w:rPr>
  </w:style>
  <w:style w:type="character" w:customStyle="1" w:styleId="glyph">
    <w:name w:val="glyph"/>
    <w:basedOn w:val="Policepardfaut"/>
    <w:rsid w:val="00306C5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A2292"/>
    <w:pPr>
      <w:ind w:left="720"/>
      <w:contextualSpacing/>
    </w:pPr>
  </w:style>
  <w:style w:type="paragraph" w:customStyle="1" w:styleId="headinganchor">
    <w:name w:val="headinganchor"/>
    <w:basedOn w:val="Normal"/>
    <w:rsid w:val="00306C59"/>
    <w:pPr>
      <w:spacing w:before="100" w:beforeAutospacing="1" w:after="100" w:afterAutospacing="1"/>
    </w:pPr>
    <w:rPr>
      <w:rFonts w:ascii="Times" w:hAnsi="Times"/>
      <w:sz w:val="20"/>
      <w:szCs w:val="20"/>
      <w:lang w:val="fr-FR"/>
    </w:rPr>
  </w:style>
  <w:style w:type="character" w:customStyle="1" w:styleId="h1">
    <w:name w:val="h1"/>
    <w:basedOn w:val="Policepardfaut"/>
    <w:rsid w:val="00306C59"/>
  </w:style>
  <w:style w:type="character" w:customStyle="1" w:styleId="headingendmark">
    <w:name w:val="headingendmark"/>
    <w:basedOn w:val="Policepardfaut"/>
    <w:rsid w:val="00306C59"/>
  </w:style>
  <w:style w:type="character" w:styleId="Lienhypertexte">
    <w:name w:val="Hyperlink"/>
    <w:basedOn w:val="Policepardfaut"/>
    <w:uiPriority w:val="99"/>
    <w:semiHidden/>
    <w:unhideWhenUsed/>
    <w:rsid w:val="00306C59"/>
    <w:rPr>
      <w:color w:val="0000FF"/>
      <w:u w:val="single"/>
    </w:rPr>
  </w:style>
  <w:style w:type="paragraph" w:styleId="NormalWeb">
    <w:name w:val="Normal (Web)"/>
    <w:basedOn w:val="Normal"/>
    <w:uiPriority w:val="99"/>
    <w:semiHidden/>
    <w:unhideWhenUsed/>
    <w:rsid w:val="00306C59"/>
    <w:pPr>
      <w:spacing w:before="100" w:beforeAutospacing="1" w:after="100" w:afterAutospacing="1"/>
    </w:pPr>
    <w:rPr>
      <w:rFonts w:ascii="Times" w:hAnsi="Times" w:cs="Times New Roman"/>
      <w:sz w:val="20"/>
      <w:szCs w:val="20"/>
      <w:lang w:val="fr-FR"/>
    </w:rPr>
  </w:style>
  <w:style w:type="character" w:customStyle="1" w:styleId="h2">
    <w:name w:val="h2"/>
    <w:basedOn w:val="Policepardfaut"/>
    <w:rsid w:val="00306C59"/>
  </w:style>
  <w:style w:type="character" w:customStyle="1" w:styleId="h3">
    <w:name w:val="h3"/>
    <w:basedOn w:val="Policepardfaut"/>
    <w:rsid w:val="00306C59"/>
  </w:style>
  <w:style w:type="paragraph" w:customStyle="1" w:styleId="bulletindent1">
    <w:name w:val="bulletindent1"/>
    <w:basedOn w:val="Normal"/>
    <w:rsid w:val="00306C59"/>
    <w:pPr>
      <w:spacing w:before="100" w:beforeAutospacing="1" w:after="100" w:afterAutospacing="1"/>
    </w:pPr>
    <w:rPr>
      <w:rFonts w:ascii="Times" w:hAnsi="Times"/>
      <w:sz w:val="20"/>
      <w:szCs w:val="20"/>
      <w:lang w:val="fr-FR"/>
    </w:rPr>
  </w:style>
  <w:style w:type="character" w:customStyle="1" w:styleId="glyph">
    <w:name w:val="glyph"/>
    <w:basedOn w:val="Policepardfaut"/>
    <w:rsid w:val="00306C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09248">
      <w:bodyDiv w:val="1"/>
      <w:marLeft w:val="0"/>
      <w:marRight w:val="0"/>
      <w:marTop w:val="0"/>
      <w:marBottom w:val="0"/>
      <w:divBdr>
        <w:top w:val="none" w:sz="0" w:space="0" w:color="auto"/>
        <w:left w:val="none" w:sz="0" w:space="0" w:color="auto"/>
        <w:bottom w:val="none" w:sz="0" w:space="0" w:color="auto"/>
        <w:right w:val="none" w:sz="0" w:space="0" w:color="auto"/>
      </w:divBdr>
    </w:div>
    <w:div w:id="133986608">
      <w:bodyDiv w:val="1"/>
      <w:marLeft w:val="0"/>
      <w:marRight w:val="0"/>
      <w:marTop w:val="0"/>
      <w:marBottom w:val="0"/>
      <w:divBdr>
        <w:top w:val="none" w:sz="0" w:space="0" w:color="auto"/>
        <w:left w:val="none" w:sz="0" w:space="0" w:color="auto"/>
        <w:bottom w:val="none" w:sz="0" w:space="0" w:color="auto"/>
        <w:right w:val="none" w:sz="0" w:space="0" w:color="auto"/>
      </w:divBdr>
    </w:div>
    <w:div w:id="262613301">
      <w:bodyDiv w:val="1"/>
      <w:marLeft w:val="0"/>
      <w:marRight w:val="0"/>
      <w:marTop w:val="0"/>
      <w:marBottom w:val="0"/>
      <w:divBdr>
        <w:top w:val="none" w:sz="0" w:space="0" w:color="auto"/>
        <w:left w:val="none" w:sz="0" w:space="0" w:color="auto"/>
        <w:bottom w:val="none" w:sz="0" w:space="0" w:color="auto"/>
        <w:right w:val="none" w:sz="0" w:space="0" w:color="auto"/>
      </w:divBdr>
    </w:div>
    <w:div w:id="985863390">
      <w:bodyDiv w:val="1"/>
      <w:marLeft w:val="0"/>
      <w:marRight w:val="0"/>
      <w:marTop w:val="0"/>
      <w:marBottom w:val="0"/>
      <w:divBdr>
        <w:top w:val="none" w:sz="0" w:space="0" w:color="auto"/>
        <w:left w:val="none" w:sz="0" w:space="0" w:color="auto"/>
        <w:bottom w:val="none" w:sz="0" w:space="0" w:color="auto"/>
        <w:right w:val="none" w:sz="0" w:space="0" w:color="auto"/>
      </w:divBdr>
    </w:div>
    <w:div w:id="1425998983">
      <w:bodyDiv w:val="1"/>
      <w:marLeft w:val="0"/>
      <w:marRight w:val="0"/>
      <w:marTop w:val="0"/>
      <w:marBottom w:val="0"/>
      <w:divBdr>
        <w:top w:val="none" w:sz="0" w:space="0" w:color="auto"/>
        <w:left w:val="none" w:sz="0" w:space="0" w:color="auto"/>
        <w:bottom w:val="none" w:sz="0" w:space="0" w:color="auto"/>
        <w:right w:val="none" w:sz="0" w:space="0" w:color="auto"/>
      </w:divBdr>
    </w:div>
    <w:div w:id="2037265401">
      <w:bodyDiv w:val="1"/>
      <w:marLeft w:val="0"/>
      <w:marRight w:val="0"/>
      <w:marTop w:val="0"/>
      <w:marBottom w:val="0"/>
      <w:divBdr>
        <w:top w:val="none" w:sz="0" w:space="0" w:color="auto"/>
        <w:left w:val="none" w:sz="0" w:space="0" w:color="auto"/>
        <w:bottom w:val="none" w:sz="0" w:space="0" w:color="auto"/>
        <w:right w:val="none" w:sz="0" w:space="0" w:color="auto"/>
      </w:divBdr>
      <w:divsChild>
        <w:div w:id="700128218">
          <w:marLeft w:val="0"/>
          <w:marRight w:val="0"/>
          <w:marTop w:val="0"/>
          <w:marBottom w:val="0"/>
          <w:divBdr>
            <w:top w:val="none" w:sz="0" w:space="0" w:color="auto"/>
            <w:left w:val="none" w:sz="0" w:space="0" w:color="auto"/>
            <w:bottom w:val="none" w:sz="0" w:space="0" w:color="auto"/>
            <w:right w:val="none" w:sz="0" w:space="0" w:color="auto"/>
          </w:divBdr>
        </w:div>
        <w:div w:id="2015692889">
          <w:marLeft w:val="0"/>
          <w:marRight w:val="0"/>
          <w:marTop w:val="0"/>
          <w:marBottom w:val="0"/>
          <w:divBdr>
            <w:top w:val="none" w:sz="0" w:space="0" w:color="auto"/>
            <w:left w:val="none" w:sz="0" w:space="0" w:color="auto"/>
            <w:bottom w:val="none" w:sz="0" w:space="0" w:color="auto"/>
            <w:right w:val="none" w:sz="0" w:space="0" w:color="auto"/>
          </w:divBdr>
        </w:div>
        <w:div w:id="988090400">
          <w:marLeft w:val="0"/>
          <w:marRight w:val="0"/>
          <w:marTop w:val="0"/>
          <w:marBottom w:val="0"/>
          <w:divBdr>
            <w:top w:val="none" w:sz="0" w:space="0" w:color="auto"/>
            <w:left w:val="none" w:sz="0" w:space="0" w:color="auto"/>
            <w:bottom w:val="none" w:sz="0" w:space="0" w:color="auto"/>
            <w:right w:val="none" w:sz="0" w:space="0" w:color="auto"/>
          </w:divBdr>
        </w:div>
        <w:div w:id="1369067425">
          <w:marLeft w:val="0"/>
          <w:marRight w:val="0"/>
          <w:marTop w:val="0"/>
          <w:marBottom w:val="0"/>
          <w:divBdr>
            <w:top w:val="none" w:sz="0" w:space="0" w:color="auto"/>
            <w:left w:val="none" w:sz="0" w:space="0" w:color="auto"/>
            <w:bottom w:val="none" w:sz="0" w:space="0" w:color="auto"/>
            <w:right w:val="none" w:sz="0" w:space="0" w:color="auto"/>
          </w:divBdr>
          <w:divsChild>
            <w:div w:id="40357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3</Pages>
  <Words>1021</Words>
  <Characters>5621</Characters>
  <Application>Microsoft Macintosh Word</Application>
  <DocSecurity>0</DocSecurity>
  <Lines>46</Lines>
  <Paragraphs>13</Paragraphs>
  <ScaleCrop>false</ScaleCrop>
  <Company/>
  <LinksUpToDate>false</LinksUpToDate>
  <CharactersWithSpaces>6629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Jo-Annie Letendre</dc:creator>
  <cp:keywords/>
  <dc:description/>
  <cp:lastModifiedBy>Jo-Annie Letendre</cp:lastModifiedBy>
  <cp:revision>3</cp:revision>
  <dcterms:created xsi:type="dcterms:W3CDTF">2017-02-09T20:52:00Z</dcterms:created>
  <dcterms:modified xsi:type="dcterms:W3CDTF">2017-02-10T22:13:00Z</dcterms:modified>
</cp:coreProperties>
</file>