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B5" w:rsidRDefault="00C20EB5" w:rsidP="00C20EB5">
      <w:r>
        <w:t xml:space="preserve">1. N </w:t>
      </w:r>
      <w:proofErr w:type="spellStart"/>
      <w:r>
        <w:t>Engl</w:t>
      </w:r>
      <w:proofErr w:type="spellEnd"/>
      <w:r>
        <w:t xml:space="preserve"> J Med. 2017 Mar 21. </w:t>
      </w:r>
    </w:p>
    <w:p w:rsidR="00C20EB5" w:rsidRPr="00C20EB5" w:rsidRDefault="00C20EB5" w:rsidP="00C20EB5">
      <w:pPr>
        <w:rPr>
          <w:b/>
        </w:rPr>
      </w:pPr>
      <w:proofErr w:type="gramStart"/>
      <w:r w:rsidRPr="00C20EB5">
        <w:rPr>
          <w:b/>
        </w:rPr>
        <w:t>Early, Goal-Directed Therapy for Septic Shock - A Patient-Level Meta-Analysis.</w:t>
      </w:r>
      <w:proofErr w:type="gramEnd"/>
    </w:p>
    <w:p w:rsidR="00C20EB5" w:rsidRDefault="00C20EB5" w:rsidP="00C20EB5">
      <w:r>
        <w:t>(</w:t>
      </w:r>
      <w:r>
        <w:t>PRISM</w:t>
      </w:r>
      <w:r>
        <w:t>)</w:t>
      </w:r>
      <w:r>
        <w:t xml:space="preserve"> </w:t>
      </w:r>
    </w:p>
    <w:p w:rsidR="00C20EB5" w:rsidRDefault="00C20EB5" w:rsidP="00C20EB5"/>
    <w:p w:rsidR="00C20EB5" w:rsidRDefault="00C20EB5" w:rsidP="00C20EB5">
      <w:r w:rsidRPr="00C20EB5">
        <w:rPr>
          <w:b/>
        </w:rPr>
        <w:t>Background</w:t>
      </w:r>
      <w:r w:rsidRPr="00C20EB5">
        <w:rPr>
          <w:b/>
        </w:rPr>
        <w:t>:</w:t>
      </w:r>
      <w:r>
        <w:t xml:space="preserve"> After a single-center trial and observational studies suggesting that </w:t>
      </w:r>
    </w:p>
    <w:p w:rsidR="00C20EB5" w:rsidRDefault="00C20EB5" w:rsidP="00C20EB5">
      <w:proofErr w:type="gramStart"/>
      <w:r>
        <w:t>early</w:t>
      </w:r>
      <w:proofErr w:type="gramEnd"/>
      <w:r>
        <w:t>, goal-directed therapy (EGDT) reduced mortality from septic shock, three</w:t>
      </w:r>
    </w:p>
    <w:p w:rsidR="00C20EB5" w:rsidRDefault="00C20EB5" w:rsidP="00C20EB5">
      <w:proofErr w:type="gramStart"/>
      <w:r>
        <w:t>multicenter</w:t>
      </w:r>
      <w:proofErr w:type="gramEnd"/>
      <w:r>
        <w:t xml:space="preserve"> trials (</w:t>
      </w:r>
      <w:proofErr w:type="spellStart"/>
      <w:r>
        <w:t>ProCESS</w:t>
      </w:r>
      <w:proofErr w:type="spellEnd"/>
      <w:r>
        <w:t xml:space="preserve">, ARISE, and </w:t>
      </w:r>
      <w:proofErr w:type="spellStart"/>
      <w:r>
        <w:t>ProMISe</w:t>
      </w:r>
      <w:proofErr w:type="spellEnd"/>
      <w:r>
        <w:t>) showed no benefit. This</w:t>
      </w:r>
    </w:p>
    <w:p w:rsidR="00C20EB5" w:rsidRDefault="00C20EB5" w:rsidP="00C20EB5">
      <w:proofErr w:type="gramStart"/>
      <w:r>
        <w:t>meta</w:t>
      </w:r>
      <w:proofErr w:type="gramEnd"/>
      <w:r>
        <w:t>-analysis of individual patient data from the three recent trials was</w:t>
      </w:r>
    </w:p>
    <w:p w:rsidR="00C20EB5" w:rsidRDefault="00C20EB5" w:rsidP="00C20EB5">
      <w:proofErr w:type="gramStart"/>
      <w:r>
        <w:t>designed</w:t>
      </w:r>
      <w:proofErr w:type="gramEnd"/>
      <w:r>
        <w:t xml:space="preserve"> prospectively to improve statistical power and explore heterogeneity of </w:t>
      </w:r>
    </w:p>
    <w:p w:rsidR="00C20EB5" w:rsidRDefault="00C20EB5" w:rsidP="00C20EB5">
      <w:proofErr w:type="gramStart"/>
      <w:r>
        <w:t>treatment</w:t>
      </w:r>
      <w:proofErr w:type="gramEnd"/>
      <w:r>
        <w:t xml:space="preserve"> effect of EGDT. </w:t>
      </w:r>
    </w:p>
    <w:p w:rsidR="00C20EB5" w:rsidRDefault="00C20EB5" w:rsidP="00C20EB5">
      <w:r w:rsidRPr="00C20EB5">
        <w:rPr>
          <w:b/>
        </w:rPr>
        <w:t>Methods</w:t>
      </w:r>
      <w:r w:rsidRPr="00C20EB5">
        <w:rPr>
          <w:b/>
        </w:rPr>
        <w:t>:</w:t>
      </w:r>
      <w:r>
        <w:t xml:space="preserve"> We harmonized entry criteria, intervention</w:t>
      </w:r>
      <w:r>
        <w:t xml:space="preserve"> </w:t>
      </w:r>
      <w:r>
        <w:t>protocols, outcomes, resource-use measures, and data collection across the trials</w:t>
      </w:r>
      <w:r>
        <w:t xml:space="preserve"> </w:t>
      </w:r>
      <w:r>
        <w:t xml:space="preserve">and specified all analyses before </w:t>
      </w:r>
      <w:proofErr w:type="spellStart"/>
      <w:r>
        <w:t>unblinding</w:t>
      </w:r>
      <w:proofErr w:type="spellEnd"/>
      <w:r>
        <w:t xml:space="preserve">. After completion of the trials, </w:t>
      </w:r>
      <w:proofErr w:type="gramStart"/>
      <w:r>
        <w:t xml:space="preserve">we </w:t>
      </w:r>
      <w:r>
        <w:t xml:space="preserve"> </w:t>
      </w:r>
      <w:r>
        <w:t>pooled</w:t>
      </w:r>
      <w:proofErr w:type="gramEnd"/>
      <w:r>
        <w:t xml:space="preserve"> data, excluding the protocol-based standard-therapy group from the </w:t>
      </w:r>
      <w:proofErr w:type="spellStart"/>
      <w:r>
        <w:t>ProCESS</w:t>
      </w:r>
      <w:proofErr w:type="spellEnd"/>
      <w:r>
        <w:t xml:space="preserve"> </w:t>
      </w:r>
      <w:r>
        <w:t>trial, and resolved residual differences. The primary outcome was 90-day</w:t>
      </w:r>
      <w:r>
        <w:t xml:space="preserve"> </w:t>
      </w:r>
      <w:r>
        <w:t>mortality. Secondary outcomes included 1-year survival, organ support, and</w:t>
      </w:r>
      <w:r>
        <w:t xml:space="preserve"> </w:t>
      </w:r>
      <w:r>
        <w:t>hospitalization costs. We tested for treatment-by-subgroup interactions for 16</w:t>
      </w:r>
    </w:p>
    <w:p w:rsidR="00C20EB5" w:rsidRDefault="00C20EB5" w:rsidP="00C20EB5">
      <w:proofErr w:type="gramStart"/>
      <w:r>
        <w:t>patient</w:t>
      </w:r>
      <w:proofErr w:type="gramEnd"/>
      <w:r>
        <w:t xml:space="preserve"> characteristics and 6 care-delivery characteristics. </w:t>
      </w:r>
    </w:p>
    <w:p w:rsidR="00C20EB5" w:rsidRDefault="00C20EB5" w:rsidP="00C20EB5">
      <w:r w:rsidRPr="00C20EB5">
        <w:rPr>
          <w:b/>
        </w:rPr>
        <w:t>Results</w:t>
      </w:r>
      <w:r>
        <w:rPr>
          <w:b/>
        </w:rPr>
        <w:t>:</w:t>
      </w:r>
      <w:r w:rsidRPr="00C20EB5">
        <w:rPr>
          <w:b/>
        </w:rPr>
        <w:t xml:space="preserve"> </w:t>
      </w:r>
      <w:r>
        <w:t>We studied</w:t>
      </w:r>
      <w:r>
        <w:t xml:space="preserve"> </w:t>
      </w:r>
      <w:r>
        <w:t>3723 patients at 138 hospitals in seven countries. Mortality at 90 days was</w:t>
      </w:r>
      <w:r>
        <w:t xml:space="preserve"> </w:t>
      </w:r>
      <w:r>
        <w:t>similar for EGDT (462 of 1852 patients [24.9%]) and usual care (475 of 1871</w:t>
      </w:r>
    </w:p>
    <w:p w:rsidR="00C20EB5" w:rsidRDefault="00C20EB5" w:rsidP="00C20EB5">
      <w:proofErr w:type="gramStart"/>
      <w:r>
        <w:t>patients</w:t>
      </w:r>
      <w:proofErr w:type="gramEnd"/>
      <w:r>
        <w:t xml:space="preserve"> [25.4%]); the adjusted odds ratio was 0.97 (95% confidence interval,</w:t>
      </w:r>
    </w:p>
    <w:p w:rsidR="00C20EB5" w:rsidRDefault="00C20EB5" w:rsidP="00C20EB5">
      <w:r>
        <w:t>0.82 to 1.14; P=0.68). EGDT was associated with greater mean (±SD) use of</w:t>
      </w:r>
    </w:p>
    <w:p w:rsidR="00C20EB5" w:rsidRDefault="00C20EB5" w:rsidP="00C20EB5">
      <w:proofErr w:type="gramStart"/>
      <w:r>
        <w:t>intensive</w:t>
      </w:r>
      <w:proofErr w:type="gramEnd"/>
      <w:r>
        <w:t xml:space="preserve"> care (5.3±7.1 vs. 4.9±7.0 days, P=0.04) and cardiovascular support</w:t>
      </w:r>
    </w:p>
    <w:p w:rsidR="00C20EB5" w:rsidRDefault="00C20EB5" w:rsidP="00C20EB5">
      <w:r>
        <w:t>(1.9±3.7 vs. 1.6±2.9 days, P=0.01) than was usual care</w:t>
      </w:r>
      <w:proofErr w:type="gramStart"/>
      <w:r>
        <w:t>;</w:t>
      </w:r>
      <w:proofErr w:type="gramEnd"/>
      <w:r>
        <w:t xml:space="preserve"> other outcomes did not</w:t>
      </w:r>
    </w:p>
    <w:p w:rsidR="00C20EB5" w:rsidRDefault="00C20EB5" w:rsidP="00C20EB5">
      <w:proofErr w:type="gramStart"/>
      <w:r>
        <w:t>differ</w:t>
      </w:r>
      <w:proofErr w:type="gramEnd"/>
      <w:r>
        <w:t xml:space="preserve"> significantly, although average costs were higher with EGDT. Subgroup</w:t>
      </w:r>
    </w:p>
    <w:p w:rsidR="00C20EB5" w:rsidRDefault="00C20EB5" w:rsidP="00C20EB5">
      <w:proofErr w:type="gramStart"/>
      <w:r>
        <w:t>analyses</w:t>
      </w:r>
      <w:proofErr w:type="gramEnd"/>
      <w:r>
        <w:t xml:space="preserve"> showed no benefit from EGDT for patients with worse shock (higher serum </w:t>
      </w:r>
    </w:p>
    <w:p w:rsidR="00C20EB5" w:rsidRDefault="00C20EB5" w:rsidP="00C20EB5">
      <w:proofErr w:type="gramStart"/>
      <w:r>
        <w:t>lactate</w:t>
      </w:r>
      <w:proofErr w:type="gramEnd"/>
      <w:r>
        <w:t xml:space="preserve"> level, combined hypotension and hyperlactatemia, or higher predicted risk</w:t>
      </w:r>
    </w:p>
    <w:p w:rsidR="00C20EB5" w:rsidRDefault="00C20EB5" w:rsidP="00C20EB5">
      <w:proofErr w:type="gramStart"/>
      <w:r>
        <w:t>of</w:t>
      </w:r>
      <w:proofErr w:type="gramEnd"/>
      <w:r>
        <w:t xml:space="preserve"> death) or for hospitals with a lower propensity to use vasopressors or fluids </w:t>
      </w:r>
    </w:p>
    <w:p w:rsidR="00C20EB5" w:rsidRDefault="00C20EB5" w:rsidP="00C20EB5">
      <w:proofErr w:type="gramStart"/>
      <w:r>
        <w:t>during</w:t>
      </w:r>
      <w:proofErr w:type="gramEnd"/>
      <w:r>
        <w:t xml:space="preserve"> usual resuscitation. </w:t>
      </w:r>
    </w:p>
    <w:p w:rsidR="00C20EB5" w:rsidRDefault="00C20EB5" w:rsidP="00C20EB5">
      <w:r w:rsidRPr="00C20EB5">
        <w:rPr>
          <w:b/>
        </w:rPr>
        <w:t>Conclusions</w:t>
      </w:r>
      <w:r>
        <w:t>:</w:t>
      </w:r>
      <w:r>
        <w:t xml:space="preserve"> In this meta-analysis of individual</w:t>
      </w:r>
      <w:r>
        <w:t xml:space="preserve"> </w:t>
      </w:r>
      <w:r>
        <w:t>patient data, EGDT did not result in better outcomes than usual care and was</w:t>
      </w:r>
      <w:r>
        <w:t xml:space="preserve"> </w:t>
      </w:r>
      <w:r>
        <w:t xml:space="preserve">associated with higher hospitalization costs across a broad range of patient and hospital characteristics. </w:t>
      </w:r>
    </w:p>
    <w:p w:rsidR="00C20EB5" w:rsidRDefault="00C20EB5" w:rsidP="00C20EB5"/>
    <w:p w:rsidR="00C20EB5" w:rsidRDefault="00C20EB5" w:rsidP="00C20EB5"/>
    <w:p w:rsidR="00C20EB5" w:rsidRDefault="00C20EB5" w:rsidP="00C20EB5">
      <w:r>
        <w:t>2</w:t>
      </w:r>
      <w:r>
        <w:t xml:space="preserve">. N </w:t>
      </w:r>
      <w:proofErr w:type="spellStart"/>
      <w:r>
        <w:t>Engl</w:t>
      </w:r>
      <w:proofErr w:type="spellEnd"/>
      <w:r>
        <w:t xml:space="preserve"> J Med. 2017 Jan 26</w:t>
      </w:r>
      <w:proofErr w:type="gramStart"/>
      <w:r>
        <w:t>;376</w:t>
      </w:r>
      <w:proofErr w:type="gramEnd"/>
      <w:r>
        <w:t>(4):318-329</w:t>
      </w:r>
    </w:p>
    <w:p w:rsidR="00C20EB5" w:rsidRPr="00C20EB5" w:rsidRDefault="00C20EB5" w:rsidP="00C20EB5">
      <w:pPr>
        <w:rPr>
          <w:b/>
        </w:rPr>
      </w:pPr>
      <w:proofErr w:type="gramStart"/>
      <w:r w:rsidRPr="00C20EB5">
        <w:rPr>
          <w:b/>
        </w:rPr>
        <w:t>Therapeutic Hypothermia after In-Hospital Cardiac Arrest in Children.</w:t>
      </w:r>
      <w:proofErr w:type="gramEnd"/>
    </w:p>
    <w:p w:rsidR="00C20EB5" w:rsidRDefault="00C20EB5" w:rsidP="00C20EB5"/>
    <w:p w:rsidR="00C20EB5" w:rsidRDefault="00C20EB5" w:rsidP="00C20EB5">
      <w:r w:rsidRPr="00C20EB5">
        <w:rPr>
          <w:b/>
        </w:rPr>
        <w:t>Background</w:t>
      </w:r>
      <w:r w:rsidRPr="00C20EB5">
        <w:rPr>
          <w:b/>
        </w:rPr>
        <w:t>:</w:t>
      </w:r>
      <w:r>
        <w:t xml:space="preserve"> Targeted temperature management is recommended for comatose adults and</w:t>
      </w:r>
      <w:r>
        <w:t xml:space="preserve"> </w:t>
      </w:r>
      <w:r>
        <w:t>children after out-of-hospital cardiac arrest; however, data on temperature</w:t>
      </w:r>
    </w:p>
    <w:p w:rsidR="00C20EB5" w:rsidRDefault="00C20EB5" w:rsidP="00C20EB5">
      <w:proofErr w:type="gramStart"/>
      <w:r>
        <w:t>management</w:t>
      </w:r>
      <w:proofErr w:type="gramEnd"/>
      <w:r>
        <w:t xml:space="preserve"> after in-hospital cardiac arrest are limited. </w:t>
      </w:r>
    </w:p>
    <w:p w:rsidR="00C20EB5" w:rsidRDefault="00C20EB5" w:rsidP="00C20EB5">
      <w:r w:rsidRPr="00C20EB5">
        <w:rPr>
          <w:b/>
        </w:rPr>
        <w:t>Methods</w:t>
      </w:r>
      <w:r>
        <w:t>:</w:t>
      </w:r>
      <w:r>
        <w:t xml:space="preserve"> In a trial</w:t>
      </w:r>
      <w:r>
        <w:t xml:space="preserve"> </w:t>
      </w:r>
      <w:r>
        <w:t>conducted at 37 children's hospitals, we compared two temperature interventions</w:t>
      </w:r>
      <w:r>
        <w:t xml:space="preserve"> </w:t>
      </w:r>
      <w:r>
        <w:t>in children who had had in-hospital cardiac arrest. Within 6 hours after the</w:t>
      </w:r>
    </w:p>
    <w:p w:rsidR="00C20EB5" w:rsidRDefault="00C20EB5" w:rsidP="00C20EB5">
      <w:proofErr w:type="gramStart"/>
      <w:r>
        <w:t>return</w:t>
      </w:r>
      <w:proofErr w:type="gramEnd"/>
      <w:r>
        <w:t xml:space="preserve"> of circulation, comatose children older than 48 hours and younger than 18 </w:t>
      </w:r>
    </w:p>
    <w:p w:rsidR="00C20EB5" w:rsidRDefault="00C20EB5" w:rsidP="00C20EB5">
      <w:proofErr w:type="gramStart"/>
      <w:r>
        <w:t>years</w:t>
      </w:r>
      <w:proofErr w:type="gramEnd"/>
      <w:r>
        <w:t xml:space="preserve"> of age were randomly assigned to therapeutic hypothermia (target</w:t>
      </w:r>
    </w:p>
    <w:p w:rsidR="00C20EB5" w:rsidRDefault="00C20EB5" w:rsidP="00C20EB5">
      <w:proofErr w:type="gramStart"/>
      <w:r>
        <w:t>temperature</w:t>
      </w:r>
      <w:proofErr w:type="gramEnd"/>
      <w:r>
        <w:t xml:space="preserve">, 33.0°C) or therapeutic </w:t>
      </w:r>
      <w:proofErr w:type="spellStart"/>
      <w:r>
        <w:t>normothermia</w:t>
      </w:r>
      <w:proofErr w:type="spellEnd"/>
      <w:r>
        <w:t xml:space="preserve"> (target temperature, 36.8°C).</w:t>
      </w:r>
    </w:p>
    <w:p w:rsidR="00C20EB5" w:rsidRDefault="00C20EB5" w:rsidP="00C20EB5">
      <w:r>
        <w:t>The primary efficacy outcome, survival at 12 months after cardiac arrest with a</w:t>
      </w:r>
    </w:p>
    <w:p w:rsidR="00C20EB5" w:rsidRDefault="00C20EB5" w:rsidP="00C20EB5">
      <w:proofErr w:type="gramStart"/>
      <w:r>
        <w:t>score</w:t>
      </w:r>
      <w:proofErr w:type="gramEnd"/>
      <w:r>
        <w:t xml:space="preserve"> of 70 or higher on the Vineland Adaptive Behavior Scales, second edition</w:t>
      </w:r>
    </w:p>
    <w:p w:rsidR="00C20EB5" w:rsidRDefault="00C20EB5" w:rsidP="00C20EB5">
      <w:r>
        <w:lastRenderedPageBreak/>
        <w:t xml:space="preserve">(VABS-II, on which scores range from 20 to 160, with </w:t>
      </w:r>
      <w:proofErr w:type="gramStart"/>
      <w:r>
        <w:t>higher</w:t>
      </w:r>
      <w:proofErr w:type="gramEnd"/>
      <w:r>
        <w:t xml:space="preserve"> scores indicating</w:t>
      </w:r>
    </w:p>
    <w:p w:rsidR="00C20EB5" w:rsidRDefault="00C20EB5" w:rsidP="00C20EB5">
      <w:proofErr w:type="gramStart"/>
      <w:r>
        <w:t>better</w:t>
      </w:r>
      <w:proofErr w:type="gramEnd"/>
      <w:r>
        <w:t xml:space="preserve"> function), was evaluated among patients who had had a VABS-II score of at </w:t>
      </w:r>
    </w:p>
    <w:p w:rsidR="00C20EB5" w:rsidRDefault="00C20EB5" w:rsidP="00C20EB5">
      <w:proofErr w:type="gramStart"/>
      <w:r>
        <w:t>least</w:t>
      </w:r>
      <w:proofErr w:type="gramEnd"/>
      <w:r>
        <w:t xml:space="preserve"> 70 before the cardiac arrest. </w:t>
      </w:r>
    </w:p>
    <w:p w:rsidR="00C20EB5" w:rsidRDefault="00C20EB5" w:rsidP="00C20EB5">
      <w:r w:rsidRPr="00C20EB5">
        <w:rPr>
          <w:b/>
        </w:rPr>
        <w:t>Results</w:t>
      </w:r>
      <w:r w:rsidRPr="00C20EB5">
        <w:rPr>
          <w:b/>
        </w:rPr>
        <w:t>:</w:t>
      </w:r>
      <w:r>
        <w:t xml:space="preserve"> The trial was terminated because of</w:t>
      </w:r>
      <w:r>
        <w:t xml:space="preserve"> </w:t>
      </w:r>
      <w:r>
        <w:t>futility after 329 patients had undergone randomization. Among the 257 patients</w:t>
      </w:r>
      <w:r>
        <w:t xml:space="preserve"> </w:t>
      </w:r>
      <w:r>
        <w:t>who had a VABS-II score of at least 70 before cardiac arrest and who could be</w:t>
      </w:r>
      <w:r>
        <w:t xml:space="preserve"> </w:t>
      </w:r>
      <w:r>
        <w:t xml:space="preserve">evaluated, the rate of the primary efficacy outcome did not differ </w:t>
      </w:r>
      <w:proofErr w:type="gramStart"/>
      <w:r>
        <w:t xml:space="preserve">significantly </w:t>
      </w:r>
      <w:r>
        <w:t xml:space="preserve"> </w:t>
      </w:r>
      <w:r>
        <w:t>between</w:t>
      </w:r>
      <w:proofErr w:type="gramEnd"/>
      <w:r>
        <w:t xml:space="preserve"> the hypothermia group and the </w:t>
      </w:r>
      <w:proofErr w:type="spellStart"/>
      <w:r>
        <w:t>normothermia</w:t>
      </w:r>
      <w:proofErr w:type="spellEnd"/>
      <w:r>
        <w:t xml:space="preserve"> group (36% [48 of 133</w:t>
      </w:r>
      <w:r>
        <w:t xml:space="preserve"> </w:t>
      </w:r>
      <w:r>
        <w:t>patients] and 39% [48 of 124 patients], respectively; relative risk, 0.92; 95%</w:t>
      </w:r>
    </w:p>
    <w:p w:rsidR="00C20EB5" w:rsidRDefault="00C20EB5" w:rsidP="00C20EB5">
      <w:proofErr w:type="gramStart"/>
      <w:r>
        <w:t>confidence</w:t>
      </w:r>
      <w:proofErr w:type="gramEnd"/>
      <w:r>
        <w:t xml:space="preserve"> interval [CI], 0.67 to 1.27; P=0.63). Among 317 patients who could be </w:t>
      </w:r>
    </w:p>
    <w:p w:rsidR="00C20EB5" w:rsidRDefault="00C20EB5" w:rsidP="00C20EB5">
      <w:proofErr w:type="gramStart"/>
      <w:r>
        <w:t>evaluated</w:t>
      </w:r>
      <w:proofErr w:type="gramEnd"/>
      <w:r>
        <w:t xml:space="preserve"> for change in neurobehavioral function, the change in VABS-II score</w:t>
      </w:r>
    </w:p>
    <w:p w:rsidR="00C20EB5" w:rsidRDefault="00C20EB5" w:rsidP="00C20EB5">
      <w:proofErr w:type="gramStart"/>
      <w:r>
        <w:t>from</w:t>
      </w:r>
      <w:proofErr w:type="gramEnd"/>
      <w:r>
        <w:t xml:space="preserve"> baseline to 12 months did not differ significantly between the groups</w:t>
      </w:r>
    </w:p>
    <w:p w:rsidR="00C20EB5" w:rsidRDefault="00C20EB5" w:rsidP="00C20EB5">
      <w:r>
        <w:t>(P=0.70). Among 327 patients who could be evaluated for 1-year survival, the rate</w:t>
      </w:r>
    </w:p>
    <w:p w:rsidR="00C20EB5" w:rsidRDefault="00C20EB5" w:rsidP="00C20EB5">
      <w:proofErr w:type="gramStart"/>
      <w:r>
        <w:t>of</w:t>
      </w:r>
      <w:proofErr w:type="gramEnd"/>
      <w:r>
        <w:t xml:space="preserve"> 1-year survival did not differ significantly between the hypothermia group and</w:t>
      </w:r>
    </w:p>
    <w:p w:rsidR="00C20EB5" w:rsidRDefault="00C20EB5" w:rsidP="00C20EB5">
      <w:proofErr w:type="gramStart"/>
      <w:r>
        <w:t>the</w:t>
      </w:r>
      <w:proofErr w:type="gramEnd"/>
      <w:r>
        <w:t xml:space="preserve"> </w:t>
      </w:r>
      <w:proofErr w:type="spellStart"/>
      <w:r>
        <w:t>normothermia</w:t>
      </w:r>
      <w:proofErr w:type="spellEnd"/>
      <w:r>
        <w:t xml:space="preserve"> group (49% [81 of 166 patients] and 46% [74 of 161 patients],</w:t>
      </w:r>
    </w:p>
    <w:p w:rsidR="00C20EB5" w:rsidRDefault="00C20EB5" w:rsidP="00C20EB5">
      <w:proofErr w:type="gramStart"/>
      <w:r>
        <w:t>respectively</w:t>
      </w:r>
      <w:proofErr w:type="gramEnd"/>
      <w:r>
        <w:t xml:space="preserve">; relative risk, 1.07; 95% CI, 0.85 to 1.34; P=0.56). The incidences </w:t>
      </w:r>
    </w:p>
    <w:p w:rsidR="00C20EB5" w:rsidRDefault="00C20EB5" w:rsidP="00C20EB5">
      <w:proofErr w:type="gramStart"/>
      <w:r>
        <w:t>of</w:t>
      </w:r>
      <w:proofErr w:type="gramEnd"/>
      <w:r>
        <w:t xml:space="preserve"> blood-product use, infection, and serious adverse events, as well as 28-day</w:t>
      </w:r>
    </w:p>
    <w:p w:rsidR="00C20EB5" w:rsidRDefault="00C20EB5" w:rsidP="00C20EB5">
      <w:proofErr w:type="gramStart"/>
      <w:r>
        <w:t>mortality</w:t>
      </w:r>
      <w:proofErr w:type="gramEnd"/>
      <w:r>
        <w:t xml:space="preserve">, did not differ significantly between groups. </w:t>
      </w:r>
    </w:p>
    <w:p w:rsidR="00C20EB5" w:rsidRDefault="00C20EB5" w:rsidP="00C20EB5">
      <w:r w:rsidRPr="00C20EB5">
        <w:rPr>
          <w:b/>
        </w:rPr>
        <w:t>Conclusions</w:t>
      </w:r>
      <w:r w:rsidRPr="00C20EB5">
        <w:rPr>
          <w:b/>
        </w:rPr>
        <w:t>:</w:t>
      </w:r>
      <w:r>
        <w:t xml:space="preserve"> Among</w:t>
      </w:r>
      <w:r>
        <w:t xml:space="preserve"> </w:t>
      </w:r>
      <w:r>
        <w:t>comatose children who survived in-hospital cardiac arrest, therapeutic</w:t>
      </w:r>
      <w:r>
        <w:t xml:space="preserve"> </w:t>
      </w:r>
      <w:r>
        <w:t xml:space="preserve">hypothermia, as compared with therapeutic </w:t>
      </w:r>
      <w:proofErr w:type="spellStart"/>
      <w:r>
        <w:t>normothermia</w:t>
      </w:r>
      <w:proofErr w:type="spellEnd"/>
      <w:r>
        <w:t>, did not confer a</w:t>
      </w:r>
    </w:p>
    <w:p w:rsidR="00C20EB5" w:rsidRDefault="00C20EB5" w:rsidP="00C20EB5">
      <w:proofErr w:type="gramStart"/>
      <w:r>
        <w:t>significant</w:t>
      </w:r>
      <w:proofErr w:type="gramEnd"/>
      <w:r>
        <w:t xml:space="preserve"> benefit in survival with a favorable functional outcome at 1 year.</w:t>
      </w:r>
    </w:p>
    <w:p w:rsidR="00C20EB5" w:rsidRDefault="00C20EB5" w:rsidP="00C20EB5"/>
    <w:p w:rsidR="00C20EB5" w:rsidRDefault="00C20EB5" w:rsidP="00C20EB5">
      <w:r>
        <w:t>3</w:t>
      </w:r>
      <w:r>
        <w:t xml:space="preserve">. </w:t>
      </w:r>
      <w:r w:rsidRPr="00C20EB5">
        <w:t xml:space="preserve">N </w:t>
      </w:r>
      <w:proofErr w:type="spellStart"/>
      <w:r w:rsidRPr="00C20EB5">
        <w:t>Engl</w:t>
      </w:r>
      <w:proofErr w:type="spellEnd"/>
      <w:r w:rsidRPr="00C20EB5">
        <w:t xml:space="preserve"> J Med. 2017 Feb 23</w:t>
      </w:r>
      <w:proofErr w:type="gramStart"/>
      <w:r w:rsidRPr="00C20EB5">
        <w:t>;376</w:t>
      </w:r>
      <w:proofErr w:type="gramEnd"/>
      <w:r w:rsidRPr="00C20EB5">
        <w:t>(8):729-741</w:t>
      </w:r>
    </w:p>
    <w:p w:rsidR="00C20EB5" w:rsidRPr="00C20EB5" w:rsidRDefault="00C20EB5" w:rsidP="00C20EB5">
      <w:pPr>
        <w:rPr>
          <w:b/>
        </w:rPr>
      </w:pPr>
      <w:r w:rsidRPr="00C20EB5">
        <w:rPr>
          <w:b/>
        </w:rPr>
        <w:t>Tight Glycemic Control in Critically Ill Children.</w:t>
      </w:r>
    </w:p>
    <w:p w:rsidR="00C20EB5" w:rsidRDefault="00C20EB5" w:rsidP="00C20EB5"/>
    <w:p w:rsidR="00C20EB5" w:rsidRDefault="00C20EB5" w:rsidP="00C20EB5">
      <w:r w:rsidRPr="00C20EB5">
        <w:rPr>
          <w:b/>
        </w:rPr>
        <w:t>Background</w:t>
      </w:r>
      <w:r>
        <w:t>:</w:t>
      </w:r>
      <w:r>
        <w:t xml:space="preserve"> In multicenter studies, tight glycemic control targeting a normal</w:t>
      </w:r>
    </w:p>
    <w:p w:rsidR="00C20EB5" w:rsidRDefault="00C20EB5" w:rsidP="00C20EB5">
      <w:proofErr w:type="gramStart"/>
      <w:r>
        <w:t>blood</w:t>
      </w:r>
      <w:proofErr w:type="gramEnd"/>
      <w:r>
        <w:t xml:space="preserve"> glucose level has not been shown to improve outcomes in critically ill</w:t>
      </w:r>
    </w:p>
    <w:p w:rsidR="00C20EB5" w:rsidRDefault="00C20EB5" w:rsidP="00C20EB5">
      <w:proofErr w:type="gramStart"/>
      <w:r>
        <w:t>adults</w:t>
      </w:r>
      <w:proofErr w:type="gramEnd"/>
      <w:r>
        <w:t xml:space="preserve"> or children after cardiac surgery. Studies involving critically ill</w:t>
      </w:r>
    </w:p>
    <w:p w:rsidR="00C20EB5" w:rsidRDefault="00C20EB5" w:rsidP="00C20EB5">
      <w:proofErr w:type="gramStart"/>
      <w:r>
        <w:t>children</w:t>
      </w:r>
      <w:proofErr w:type="gramEnd"/>
      <w:r>
        <w:t xml:space="preserve"> who have not undergone cardiac surgery are lacking. </w:t>
      </w:r>
    </w:p>
    <w:p w:rsidR="00C20EB5" w:rsidRDefault="00C20EB5" w:rsidP="00C20EB5">
      <w:r w:rsidRPr="00C20EB5">
        <w:rPr>
          <w:b/>
        </w:rPr>
        <w:t>Methods</w:t>
      </w:r>
      <w:r>
        <w:t>:</w:t>
      </w:r>
      <w:r>
        <w:t xml:space="preserve"> In a</w:t>
      </w:r>
      <w:r>
        <w:t xml:space="preserve"> </w:t>
      </w:r>
      <w:r>
        <w:t>35-center trial, we randomly assigned critically ill children with confirmed</w:t>
      </w:r>
    </w:p>
    <w:p w:rsidR="00C20EB5" w:rsidRDefault="00C20EB5" w:rsidP="00C20EB5">
      <w:proofErr w:type="gramStart"/>
      <w:r>
        <w:t>hyperglycemia</w:t>
      </w:r>
      <w:proofErr w:type="gramEnd"/>
      <w:r>
        <w:t xml:space="preserve"> (excluding patients who had undergone cardiac surgery) to one of</w:t>
      </w:r>
    </w:p>
    <w:p w:rsidR="00C20EB5" w:rsidRDefault="00C20EB5" w:rsidP="00C20EB5">
      <w:proofErr w:type="gramStart"/>
      <w:r>
        <w:t>two</w:t>
      </w:r>
      <w:proofErr w:type="gramEnd"/>
      <w:r>
        <w:t xml:space="preserve"> ranges of glycemic control: 80 to 110 mg per deciliter (4.4 to 6.1 </w:t>
      </w:r>
      <w:proofErr w:type="spellStart"/>
      <w:r>
        <w:t>mmol</w:t>
      </w:r>
      <w:proofErr w:type="spellEnd"/>
      <w:r>
        <w:t xml:space="preserve"> per</w:t>
      </w:r>
    </w:p>
    <w:p w:rsidR="00C20EB5" w:rsidRDefault="00C20EB5" w:rsidP="00C20EB5">
      <w:proofErr w:type="gramStart"/>
      <w:r>
        <w:t>liter</w:t>
      </w:r>
      <w:proofErr w:type="gramEnd"/>
      <w:r>
        <w:t xml:space="preserve">; lower-target group) or 150 to 180 mg per deciliter (8.3 to 10.0 </w:t>
      </w:r>
      <w:proofErr w:type="spellStart"/>
      <w:r>
        <w:t>mmol</w:t>
      </w:r>
      <w:proofErr w:type="spellEnd"/>
      <w:r>
        <w:t xml:space="preserve"> per</w:t>
      </w:r>
    </w:p>
    <w:p w:rsidR="00C20EB5" w:rsidRDefault="00C20EB5" w:rsidP="00C20EB5">
      <w:proofErr w:type="gramStart"/>
      <w:r>
        <w:t>liter</w:t>
      </w:r>
      <w:proofErr w:type="gramEnd"/>
      <w:r>
        <w:t>; higher-target group). Clinicians were guided by continuous glucose</w:t>
      </w:r>
    </w:p>
    <w:p w:rsidR="00C20EB5" w:rsidRDefault="00C20EB5" w:rsidP="00C20EB5">
      <w:proofErr w:type="gramStart"/>
      <w:r>
        <w:t>monitoring</w:t>
      </w:r>
      <w:proofErr w:type="gramEnd"/>
      <w:r>
        <w:t xml:space="preserve"> and explicit methods for insulin adjustment. The primary outcome was</w:t>
      </w:r>
    </w:p>
    <w:p w:rsidR="00C20EB5" w:rsidRDefault="00C20EB5" w:rsidP="00C20EB5">
      <w:proofErr w:type="gramStart"/>
      <w:r>
        <w:t>the</w:t>
      </w:r>
      <w:proofErr w:type="gramEnd"/>
      <w:r>
        <w:t xml:space="preserve"> number of intensive care unit (ICU)-free days to day 28. </w:t>
      </w:r>
    </w:p>
    <w:p w:rsidR="00C20EB5" w:rsidRDefault="00C20EB5" w:rsidP="00C20EB5">
      <w:r w:rsidRPr="00C20EB5">
        <w:rPr>
          <w:b/>
        </w:rPr>
        <w:t>Results</w:t>
      </w:r>
      <w:r w:rsidRPr="00C20EB5">
        <w:rPr>
          <w:b/>
        </w:rPr>
        <w:t>:</w:t>
      </w:r>
      <w:r>
        <w:t xml:space="preserve"> The trial</w:t>
      </w:r>
      <w:r>
        <w:t xml:space="preserve"> </w:t>
      </w:r>
      <w:r>
        <w:t>was stopped early, on the recommendation of the data and safety monitoring board,</w:t>
      </w:r>
      <w:r>
        <w:t xml:space="preserve"> </w:t>
      </w:r>
      <w:r>
        <w:t xml:space="preserve">owing to a low likelihood of benefit and evidence of the possibility of harm. </w:t>
      </w:r>
      <w:proofErr w:type="gramStart"/>
      <w:r>
        <w:t xml:space="preserve">Of </w:t>
      </w:r>
      <w:r>
        <w:t xml:space="preserve"> </w:t>
      </w:r>
      <w:r>
        <w:t>713</w:t>
      </w:r>
      <w:proofErr w:type="gramEnd"/>
      <w:r>
        <w:t xml:space="preserve"> patients, 360 were randomly assigned to the lower-target group and 353 to the</w:t>
      </w:r>
      <w:r>
        <w:t xml:space="preserve"> </w:t>
      </w:r>
      <w:r>
        <w:t>higher-target group. In the intention-to-treat analysis, the median number of</w:t>
      </w:r>
    </w:p>
    <w:p w:rsidR="00C20EB5" w:rsidRDefault="00C20EB5" w:rsidP="00C20EB5">
      <w:r>
        <w:t>ICU-free days did not differ significantly between the lower-target group and the</w:t>
      </w:r>
    </w:p>
    <w:p w:rsidR="00C20EB5" w:rsidRDefault="00C20EB5" w:rsidP="00C20EB5">
      <w:proofErr w:type="gramStart"/>
      <w:r>
        <w:t>higher</w:t>
      </w:r>
      <w:proofErr w:type="gramEnd"/>
      <w:r>
        <w:t>-target group (19.4 days [interquartile range {IQR}, 0 to 24.2] and 19.4</w:t>
      </w:r>
    </w:p>
    <w:p w:rsidR="00C20EB5" w:rsidRDefault="00C20EB5" w:rsidP="00C20EB5">
      <w:proofErr w:type="gramStart"/>
      <w:r>
        <w:t>days</w:t>
      </w:r>
      <w:proofErr w:type="gramEnd"/>
      <w:r>
        <w:t xml:space="preserve"> [IQR, 6.7 to 23.9], respectively; P=0.58). In per-protocol analyses, the</w:t>
      </w:r>
    </w:p>
    <w:p w:rsidR="00C20EB5" w:rsidRDefault="00C20EB5" w:rsidP="00C20EB5">
      <w:proofErr w:type="gramStart"/>
      <w:r>
        <w:t>median</w:t>
      </w:r>
      <w:proofErr w:type="gramEnd"/>
      <w:r>
        <w:t xml:space="preserve"> time-weighted average glucose level was significantly lower in the</w:t>
      </w:r>
    </w:p>
    <w:p w:rsidR="00C20EB5" w:rsidRDefault="00C20EB5" w:rsidP="00C20EB5">
      <w:proofErr w:type="gramStart"/>
      <w:r>
        <w:t>lower</w:t>
      </w:r>
      <w:proofErr w:type="gramEnd"/>
      <w:r>
        <w:t xml:space="preserve">-target group (109 mg per deciliter [IQR, 102 to 118]; 6.1 </w:t>
      </w:r>
      <w:proofErr w:type="spellStart"/>
      <w:r>
        <w:t>mmol</w:t>
      </w:r>
      <w:proofErr w:type="spellEnd"/>
      <w:r>
        <w:t xml:space="preserve"> per liter</w:t>
      </w:r>
    </w:p>
    <w:p w:rsidR="00C20EB5" w:rsidRDefault="00C20EB5" w:rsidP="00C20EB5">
      <w:r>
        <w:t xml:space="preserve">[IQR, 5.7 to 6.6]) </w:t>
      </w:r>
      <w:proofErr w:type="gramStart"/>
      <w:r>
        <w:t>than</w:t>
      </w:r>
      <w:proofErr w:type="gramEnd"/>
      <w:r>
        <w:t xml:space="preserve"> in the higher-target group (123 mg per deciliter [IQR,</w:t>
      </w:r>
    </w:p>
    <w:p w:rsidR="00C20EB5" w:rsidRDefault="00C20EB5" w:rsidP="00C20EB5">
      <w:r>
        <w:t xml:space="preserve">108 to 142]; 6.8 </w:t>
      </w:r>
      <w:proofErr w:type="spellStart"/>
      <w:r>
        <w:t>mmol</w:t>
      </w:r>
      <w:proofErr w:type="spellEnd"/>
      <w:r>
        <w:t xml:space="preserve"> per liter [IQR, 6.0 to 7.9]; P&lt;0.001). Patients in the</w:t>
      </w:r>
    </w:p>
    <w:p w:rsidR="00C20EB5" w:rsidRDefault="00C20EB5" w:rsidP="00C20EB5">
      <w:proofErr w:type="gramStart"/>
      <w:r>
        <w:t>lower</w:t>
      </w:r>
      <w:proofErr w:type="gramEnd"/>
      <w:r>
        <w:t>-target group also had higher rates of health care-associated infections</w:t>
      </w:r>
    </w:p>
    <w:p w:rsidR="00C20EB5" w:rsidRDefault="00C20EB5" w:rsidP="00C20EB5">
      <w:proofErr w:type="gramStart"/>
      <w:r>
        <w:t>than</w:t>
      </w:r>
      <w:proofErr w:type="gramEnd"/>
      <w:r>
        <w:t xml:space="preserve"> those in the higher-target group (12 of 349 patients [3.4%] vs. 4 of 349</w:t>
      </w:r>
    </w:p>
    <w:p w:rsidR="00C20EB5" w:rsidRDefault="00C20EB5" w:rsidP="00C20EB5">
      <w:r>
        <w:t>[1.1%], P=0.04), as well as higher rates of severe hypoglycemia, defined as a</w:t>
      </w:r>
    </w:p>
    <w:p w:rsidR="00C20EB5" w:rsidRDefault="00C20EB5" w:rsidP="00C20EB5">
      <w:proofErr w:type="gramStart"/>
      <w:r>
        <w:t>blood</w:t>
      </w:r>
      <w:proofErr w:type="gramEnd"/>
      <w:r>
        <w:t xml:space="preserve"> glucose level below 40 mg per deciliter (2.2 </w:t>
      </w:r>
      <w:proofErr w:type="spellStart"/>
      <w:r>
        <w:t>mmol</w:t>
      </w:r>
      <w:proofErr w:type="spellEnd"/>
      <w:r>
        <w:t xml:space="preserve"> per liter) (18 patients</w:t>
      </w:r>
    </w:p>
    <w:p w:rsidR="00C20EB5" w:rsidRDefault="00C20EB5" w:rsidP="00C20EB5">
      <w:r>
        <w:t>[5.2%] vs. 7 [2.0%], P=0.03). No significant differences were observed in</w:t>
      </w:r>
    </w:p>
    <w:p w:rsidR="00C20EB5" w:rsidRDefault="00C20EB5" w:rsidP="00C20EB5">
      <w:proofErr w:type="gramStart"/>
      <w:r>
        <w:t>mortality</w:t>
      </w:r>
      <w:proofErr w:type="gramEnd"/>
      <w:r>
        <w:t xml:space="preserve">, severity of organ dysfunction, or the number of ventilator-free days. </w:t>
      </w:r>
    </w:p>
    <w:p w:rsidR="00C20EB5" w:rsidRDefault="00C20EB5" w:rsidP="00C20EB5">
      <w:r w:rsidRPr="00C20EB5">
        <w:rPr>
          <w:b/>
        </w:rPr>
        <w:t>Conclusions</w:t>
      </w:r>
      <w:r>
        <w:rPr>
          <w:b/>
        </w:rPr>
        <w:t>:</w:t>
      </w:r>
      <w:r>
        <w:t xml:space="preserve"> Critically ill children with hyperglycemia did not benefit from tight</w:t>
      </w:r>
    </w:p>
    <w:p w:rsidR="00C20EB5" w:rsidRDefault="00C20EB5" w:rsidP="00C20EB5">
      <w:proofErr w:type="gramStart"/>
      <w:r>
        <w:t>glycemic</w:t>
      </w:r>
      <w:proofErr w:type="gramEnd"/>
      <w:r>
        <w:t xml:space="preserve"> control targeted to a blood glucose level of 80 to 110 mg per deciliter,</w:t>
      </w:r>
    </w:p>
    <w:p w:rsidR="00C20EB5" w:rsidRDefault="00C20EB5" w:rsidP="00C20EB5">
      <w:proofErr w:type="gramStart"/>
      <w:r>
        <w:t>as</w:t>
      </w:r>
      <w:proofErr w:type="gramEnd"/>
      <w:r>
        <w:t xml:space="preserve"> compared with a level of 150 to 180 mg per deciliter. </w:t>
      </w:r>
    </w:p>
    <w:p w:rsidR="00C20EB5" w:rsidRDefault="00C20EB5" w:rsidP="00C20EB5"/>
    <w:p w:rsidR="00C20EB5" w:rsidRDefault="00C20EB5" w:rsidP="00C20EB5">
      <w:bookmarkStart w:id="0" w:name="_GoBack"/>
      <w:bookmarkEnd w:id="0"/>
    </w:p>
    <w:p w:rsidR="009C411F" w:rsidRDefault="009C411F"/>
    <w:sectPr w:rsidR="009C411F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EB5"/>
    <w:rsid w:val="002C4D29"/>
    <w:rsid w:val="00437961"/>
    <w:rsid w:val="009C411F"/>
    <w:rsid w:val="00C2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1105</Words>
  <Characters>6082</Characters>
  <Application>Microsoft Macintosh Word</Application>
  <DocSecurity>0</DocSecurity>
  <Lines>50</Lines>
  <Paragraphs>14</Paragraphs>
  <ScaleCrop>false</ScaleCrop>
  <Company/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2017-03-30T01:59:00Z</dcterms:created>
  <dcterms:modified xsi:type="dcterms:W3CDTF">2017-03-30T02:05:00Z</dcterms:modified>
</cp:coreProperties>
</file>