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E2F" w:rsidRDefault="00F35E2F" w:rsidP="0080217F">
      <w:pPr>
        <w:jc w:val="both"/>
        <w:rPr>
          <w:b/>
        </w:rPr>
      </w:pPr>
      <w:r>
        <w:rPr>
          <w:b/>
        </w:rPr>
        <w:t>NEW ENGLAND JOURNAL OF MEDICINE – AUGUST &amp; SEPTEMBER 2016</w:t>
      </w:r>
    </w:p>
    <w:p w:rsidR="00EC37CF" w:rsidRDefault="00EC37CF" w:rsidP="0080217F">
      <w:pPr>
        <w:jc w:val="both"/>
        <w:rPr>
          <w:b/>
        </w:rPr>
      </w:pPr>
    </w:p>
    <w:p w:rsidR="00432309" w:rsidRDefault="00432309" w:rsidP="00432309">
      <w:pPr>
        <w:jc w:val="both"/>
      </w:pPr>
      <w:r>
        <w:t xml:space="preserve">N </w:t>
      </w:r>
      <w:proofErr w:type="spellStart"/>
      <w:r>
        <w:t>Engl</w:t>
      </w:r>
      <w:proofErr w:type="spellEnd"/>
      <w:r>
        <w:t xml:space="preserve"> J Med. 2016 Aug 11; 375(6)</w:t>
      </w:r>
      <w:proofErr w:type="gramStart"/>
      <w:r>
        <w:t>:511</w:t>
      </w:r>
      <w:proofErr w:type="gramEnd"/>
      <w:r>
        <w:t>-22</w:t>
      </w:r>
    </w:p>
    <w:p w:rsidR="00432309" w:rsidRDefault="00432309" w:rsidP="00432309">
      <w:pPr>
        <w:jc w:val="both"/>
      </w:pPr>
    </w:p>
    <w:p w:rsidR="00432309" w:rsidRDefault="00432309" w:rsidP="00432309">
      <w:pPr>
        <w:jc w:val="both"/>
      </w:pPr>
      <w:r w:rsidRPr="00432309">
        <w:rPr>
          <w:b/>
        </w:rPr>
        <w:t>BACKGROUND:</w:t>
      </w:r>
      <w:r>
        <w:t xml:space="preserve"> </w:t>
      </w:r>
      <w:proofErr w:type="spellStart"/>
      <w:r>
        <w:t>Thymectomy</w:t>
      </w:r>
      <w:proofErr w:type="spellEnd"/>
      <w:r>
        <w:t xml:space="preserve"> has been a mainstay in the treatment of myasthenia gravis, but there is no conclusive evidence of its benefit. We conducted a multicenter, randomized trial comparing </w:t>
      </w:r>
      <w:proofErr w:type="spellStart"/>
      <w:r>
        <w:t>thymectomy</w:t>
      </w:r>
      <w:proofErr w:type="spellEnd"/>
      <w:r>
        <w:t xml:space="preserve"> plus prednisone with prednisone alone.</w:t>
      </w:r>
    </w:p>
    <w:p w:rsidR="00432309" w:rsidRDefault="00432309" w:rsidP="00432309">
      <w:pPr>
        <w:jc w:val="both"/>
      </w:pPr>
    </w:p>
    <w:p w:rsidR="00432309" w:rsidRDefault="00432309" w:rsidP="00432309">
      <w:pPr>
        <w:jc w:val="both"/>
      </w:pPr>
      <w:r w:rsidRPr="00432309">
        <w:rPr>
          <w:b/>
        </w:rPr>
        <w:t>METHODS:</w:t>
      </w:r>
      <w:r>
        <w:t xml:space="preserve"> We compared extended </w:t>
      </w:r>
      <w:proofErr w:type="spellStart"/>
      <w:r>
        <w:t>transsternal</w:t>
      </w:r>
      <w:proofErr w:type="spellEnd"/>
      <w:r>
        <w:t xml:space="preserve"> </w:t>
      </w:r>
      <w:proofErr w:type="spellStart"/>
      <w:r>
        <w:t>thymectomy</w:t>
      </w:r>
      <w:proofErr w:type="spellEnd"/>
      <w:r>
        <w:t xml:space="preserve"> plus alternate-day prednisone with alternate-day prednisone alone. Patients 18 to 65 years of age who had generalized </w:t>
      </w:r>
      <w:proofErr w:type="spellStart"/>
      <w:r>
        <w:t>nonthymomatous</w:t>
      </w:r>
      <w:proofErr w:type="spellEnd"/>
      <w:r>
        <w:t xml:space="preserve"> myasthenia gravis with a disease duration of less than 5 years were included if they had Myasthenia Gravis Foundation of America clinical class II to IV disease (on a scale from I to V, with higher classes indicating more severe disease) and elevated circulating concentrations of acetylcholine-receptor antibody. The primary outcomes were the time-weighted average Quantitative Myasthenia Gravis score (on a scale from 0 to 39, with higher scores indicating more severe disease) over a 3-year period, as assessed by means of blinded rating, and the time-weighted average required dose of prednisone over a 3-year period.</w:t>
      </w:r>
    </w:p>
    <w:p w:rsidR="00432309" w:rsidRDefault="00432309" w:rsidP="00432309">
      <w:pPr>
        <w:jc w:val="both"/>
      </w:pPr>
    </w:p>
    <w:p w:rsidR="00432309" w:rsidRDefault="00432309" w:rsidP="00432309">
      <w:pPr>
        <w:jc w:val="both"/>
      </w:pPr>
      <w:r w:rsidRPr="00432309">
        <w:rPr>
          <w:b/>
        </w:rPr>
        <w:t>RESULTS:</w:t>
      </w:r>
      <w:r>
        <w:t xml:space="preserve"> A total of 126 patients underwent randomization between 2006 and 2012 at 36 sites. Patients who underwent </w:t>
      </w:r>
      <w:proofErr w:type="spellStart"/>
      <w:r>
        <w:t>thymectomy</w:t>
      </w:r>
      <w:proofErr w:type="spellEnd"/>
      <w:r>
        <w:t xml:space="preserve"> had a lower time-weighted average Quantitative Myasthenia Gravis score over a 3-year period than those who received prednisone alone (6.15 vs. 8.99, P&lt;0.001); patients in the </w:t>
      </w:r>
      <w:proofErr w:type="spellStart"/>
      <w:r>
        <w:t>thymectomy</w:t>
      </w:r>
      <w:proofErr w:type="spellEnd"/>
      <w:r>
        <w:t xml:space="preserve"> group also had a lower average requirement for alternate-day prednisone (44 mg vs. 60 mg, P&lt;0.001). Fewer patients in the </w:t>
      </w:r>
      <w:proofErr w:type="spellStart"/>
      <w:r>
        <w:t>thymectomy</w:t>
      </w:r>
      <w:proofErr w:type="spellEnd"/>
      <w:r>
        <w:t xml:space="preserve"> group than in the prednisone-only group required immunosuppression with azathioprine (17% vs. 48%, P&lt;0.001) or were hospitalized for exacerbations (9% vs. 37%, P&lt;0.001). The number of patients with treatment-associated complications did not differ significantly between groups (P=0.73), but patients in the </w:t>
      </w:r>
      <w:proofErr w:type="spellStart"/>
      <w:r>
        <w:t>thymectomy</w:t>
      </w:r>
      <w:proofErr w:type="spellEnd"/>
      <w:r>
        <w:t xml:space="preserve"> group had fewer treatment-associated symptoms related to immunosuppressive medications (P&lt;0.001) and lower distress levels related to symptoms (P=0.003).</w:t>
      </w:r>
    </w:p>
    <w:p w:rsidR="00432309" w:rsidRDefault="00432309" w:rsidP="00432309">
      <w:pPr>
        <w:jc w:val="both"/>
      </w:pPr>
    </w:p>
    <w:p w:rsidR="00432309" w:rsidRPr="00432309" w:rsidRDefault="00432309" w:rsidP="00432309">
      <w:pPr>
        <w:jc w:val="both"/>
      </w:pPr>
      <w:r w:rsidRPr="00432309">
        <w:rPr>
          <w:b/>
        </w:rPr>
        <w:t>CONCLUSIONS:</w:t>
      </w:r>
      <w:r>
        <w:t xml:space="preserve"> </w:t>
      </w:r>
      <w:proofErr w:type="spellStart"/>
      <w:r>
        <w:t>Thymectomy</w:t>
      </w:r>
      <w:proofErr w:type="spellEnd"/>
      <w:r>
        <w:t xml:space="preserve"> improved clinical outcomes over a 3-year period in patients with </w:t>
      </w:r>
      <w:proofErr w:type="spellStart"/>
      <w:r>
        <w:t>nonthymomatous</w:t>
      </w:r>
      <w:proofErr w:type="spellEnd"/>
      <w:r>
        <w:t xml:space="preserve"> myasthenia gravis.</w:t>
      </w:r>
    </w:p>
    <w:p w:rsidR="00432309" w:rsidRDefault="00432309" w:rsidP="0080217F">
      <w:pPr>
        <w:jc w:val="both"/>
        <w:rPr>
          <w:b/>
        </w:rPr>
      </w:pPr>
    </w:p>
    <w:p w:rsidR="00432309" w:rsidRDefault="00432309" w:rsidP="0080217F">
      <w:pPr>
        <w:jc w:val="both"/>
        <w:rPr>
          <w:b/>
        </w:rPr>
      </w:pPr>
    </w:p>
    <w:p w:rsidR="00EC37CF" w:rsidRDefault="00EC37CF" w:rsidP="0080217F">
      <w:pPr>
        <w:jc w:val="both"/>
      </w:pPr>
      <w:hyperlink r:id="rId6" w:history="1">
        <w:r w:rsidRPr="009A0316">
          <w:rPr>
            <w:rStyle w:val="Lienhypertexte"/>
          </w:rPr>
          <w:t>http://www.nejm.org/doi/full/10.1056/NEJMoa1602489#t=abstract</w:t>
        </w:r>
      </w:hyperlink>
    </w:p>
    <w:p w:rsidR="00EC37CF" w:rsidRPr="00EC37CF" w:rsidRDefault="00EC37CF" w:rsidP="0080217F">
      <w:pPr>
        <w:jc w:val="both"/>
      </w:pPr>
    </w:p>
    <w:p w:rsidR="00F35E2F" w:rsidRDefault="00F35E2F" w:rsidP="0080217F">
      <w:pPr>
        <w:jc w:val="both"/>
      </w:pPr>
    </w:p>
    <w:p w:rsidR="00432309" w:rsidRDefault="00432309" w:rsidP="0080217F">
      <w:pPr>
        <w:jc w:val="both"/>
      </w:pPr>
    </w:p>
    <w:p w:rsidR="00432309" w:rsidRDefault="00432309" w:rsidP="0080217F">
      <w:pPr>
        <w:jc w:val="both"/>
      </w:pPr>
    </w:p>
    <w:p w:rsidR="00432309" w:rsidRDefault="00432309" w:rsidP="0080217F">
      <w:pPr>
        <w:jc w:val="both"/>
      </w:pPr>
    </w:p>
    <w:p w:rsidR="00432309" w:rsidRDefault="00432309" w:rsidP="0080217F">
      <w:pPr>
        <w:jc w:val="both"/>
      </w:pPr>
    </w:p>
    <w:p w:rsidR="00432309" w:rsidRDefault="00432309" w:rsidP="0080217F">
      <w:pPr>
        <w:jc w:val="both"/>
      </w:pPr>
    </w:p>
    <w:p w:rsidR="00432309" w:rsidRDefault="00432309" w:rsidP="0080217F">
      <w:pPr>
        <w:jc w:val="both"/>
      </w:pPr>
    </w:p>
    <w:p w:rsidR="00432309" w:rsidRDefault="00432309" w:rsidP="0080217F">
      <w:pPr>
        <w:jc w:val="both"/>
      </w:pPr>
    </w:p>
    <w:p w:rsidR="001C46EE" w:rsidRDefault="001C46EE" w:rsidP="0080217F">
      <w:pPr>
        <w:jc w:val="both"/>
      </w:pPr>
      <w:r>
        <w:lastRenderedPageBreak/>
        <w:t xml:space="preserve">N </w:t>
      </w:r>
      <w:proofErr w:type="spellStart"/>
      <w:r>
        <w:t>Engl</w:t>
      </w:r>
      <w:proofErr w:type="spellEnd"/>
      <w:r>
        <w:t xml:space="preserve"> J Med. 2016 Sep 22; 375(12)</w:t>
      </w:r>
      <w:proofErr w:type="gramStart"/>
      <w:r>
        <w:t>:1142</w:t>
      </w:r>
      <w:proofErr w:type="gramEnd"/>
      <w:r>
        <w:t xml:space="preserve">-51. </w:t>
      </w:r>
    </w:p>
    <w:p w:rsidR="001C46EE" w:rsidRPr="001C46EE" w:rsidRDefault="001C46EE" w:rsidP="0080217F">
      <w:pPr>
        <w:jc w:val="both"/>
        <w:rPr>
          <w:b/>
        </w:rPr>
      </w:pPr>
      <w:r w:rsidRPr="001C46EE">
        <w:rPr>
          <w:b/>
        </w:rPr>
        <w:t>Nasal High-Flow Therapy for Primary Respiratory Support in Preterm Infa</w:t>
      </w:r>
      <w:r>
        <w:rPr>
          <w:b/>
        </w:rPr>
        <w:t>nts</w:t>
      </w:r>
    </w:p>
    <w:p w:rsidR="001C46EE" w:rsidRDefault="001C46EE" w:rsidP="0080217F">
      <w:pPr>
        <w:jc w:val="both"/>
      </w:pPr>
    </w:p>
    <w:p w:rsidR="001C46EE" w:rsidRDefault="001C46EE" w:rsidP="0080217F">
      <w:pPr>
        <w:jc w:val="both"/>
      </w:pPr>
      <w:r w:rsidRPr="001C46EE">
        <w:rPr>
          <w:b/>
        </w:rPr>
        <w:t>Background:</w:t>
      </w:r>
      <w:r>
        <w:t xml:space="preserve">  Treatment with nasal high-flow therapy has efficacy similar to that of nasal continuous positive airway pressure (CPAP) when used as </w:t>
      </w:r>
      <w:proofErr w:type="spellStart"/>
      <w:r>
        <w:t>postextubation</w:t>
      </w:r>
      <w:proofErr w:type="spellEnd"/>
      <w:r>
        <w:t xml:space="preserve"> support in neonates. The efficacy of high-flow therapy as the primary means of respiratory support for preterm infants with respiratory distress has not been proved. </w:t>
      </w:r>
    </w:p>
    <w:p w:rsidR="001C46EE" w:rsidRDefault="001C46EE" w:rsidP="0080217F">
      <w:pPr>
        <w:jc w:val="both"/>
      </w:pPr>
    </w:p>
    <w:p w:rsidR="001C46EE" w:rsidRDefault="001C46EE" w:rsidP="0080217F">
      <w:pPr>
        <w:jc w:val="both"/>
      </w:pPr>
      <w:r w:rsidRPr="001C46EE">
        <w:rPr>
          <w:b/>
        </w:rPr>
        <w:t>Methods:</w:t>
      </w:r>
      <w:r>
        <w:t xml:space="preserve">  In this international, multicenter, randomized, </w:t>
      </w:r>
      <w:proofErr w:type="spellStart"/>
      <w:r>
        <w:t>noninferiority</w:t>
      </w:r>
      <w:proofErr w:type="spellEnd"/>
      <w:r>
        <w:t xml:space="preserve"> trial, we assigned 564 preterm infants (gestational age, ≥28 weeks 0 days) with early respiratory distress who had not received surfactant replacement to treatment with either nasal high-flow therapy or nasal CPAP. The primary outcome was treatment failure within 72 hours after randomization. </w:t>
      </w:r>
      <w:proofErr w:type="spellStart"/>
      <w:r>
        <w:t>Noninferiority</w:t>
      </w:r>
      <w:proofErr w:type="spellEnd"/>
      <w:r>
        <w:t xml:space="preserve"> was determined by calculating the absolute difference in the risk of the primary outcome; the chosen margin of </w:t>
      </w:r>
      <w:proofErr w:type="spellStart"/>
      <w:r>
        <w:t>noninferiority</w:t>
      </w:r>
      <w:proofErr w:type="spellEnd"/>
      <w:r>
        <w:t xml:space="preserve"> was 10 percentage points. Infants in whom high-flow therapy failed could receive rescue CPAP; infants in whom CPAP failed were intubated and mechanically ventilated. </w:t>
      </w:r>
    </w:p>
    <w:p w:rsidR="001C46EE" w:rsidRDefault="001C46EE" w:rsidP="0080217F">
      <w:pPr>
        <w:jc w:val="both"/>
      </w:pPr>
    </w:p>
    <w:p w:rsidR="001C46EE" w:rsidRDefault="001C46EE" w:rsidP="0080217F">
      <w:pPr>
        <w:jc w:val="both"/>
      </w:pPr>
      <w:r w:rsidRPr="001C46EE">
        <w:rPr>
          <w:b/>
        </w:rPr>
        <w:t>Results:</w:t>
      </w:r>
      <w:r>
        <w:t xml:space="preserve"> </w:t>
      </w:r>
      <w:r w:rsidRPr="0080217F">
        <w:rPr>
          <w:highlight w:val="yellow"/>
        </w:rPr>
        <w:t>Trial recruitment stopped early at the recommendation of the independent data and safety monitoring committee because of a significant difference in the primary outcome between treatment groups.</w:t>
      </w:r>
      <w:r>
        <w:t xml:space="preserve"> Treatment failure occurred in 71 of 278 infants (25.5%) in the high-flow group and in 38 of 286 infants (13.3%) in the CPAP group (risk difference, 12.3 percentage points; 95% confidence interval [CI], 5.8 to 18.7; P&lt;0.001). The rate of intubation within 72 hours did not differ significantly between the high-flow and CPAP groups (15.5% and 11.5%, respectively; risk difference, 3.9 percentage points; 95% CI, -1.7 to 9.6; P=0.17), nor did the rate of adverse events. </w:t>
      </w:r>
    </w:p>
    <w:p w:rsidR="001C46EE" w:rsidRDefault="001C46EE" w:rsidP="0080217F">
      <w:pPr>
        <w:jc w:val="both"/>
      </w:pPr>
    </w:p>
    <w:p w:rsidR="009C411F" w:rsidRDefault="001C46EE" w:rsidP="0080217F">
      <w:pPr>
        <w:jc w:val="both"/>
      </w:pPr>
      <w:r w:rsidRPr="001C46EE">
        <w:rPr>
          <w:b/>
        </w:rPr>
        <w:t>Conclusions:</w:t>
      </w:r>
      <w:r>
        <w:t xml:space="preserve">  When used as primary support for preterm infants with respiratory distress, high-flow therapy resulted in a significantly higher rate of treatment failure than did CPAP. (Funded by the National Health and Medical Research Council and others; Australian New Zealand Clinical Trials Registry number, </w:t>
      </w:r>
      <w:proofErr w:type="gramStart"/>
      <w:r>
        <w:t>ACTRN12613000303741 .)</w:t>
      </w:r>
      <w:proofErr w:type="gramEnd"/>
    </w:p>
    <w:p w:rsidR="0080217F" w:rsidRDefault="0080217F" w:rsidP="0080217F">
      <w:pPr>
        <w:jc w:val="both"/>
      </w:pPr>
    </w:p>
    <w:p w:rsidR="0080217F" w:rsidRDefault="0080217F" w:rsidP="0080217F">
      <w:pPr>
        <w:pStyle w:val="Paragraphedeliste"/>
        <w:numPr>
          <w:ilvl w:val="0"/>
          <w:numId w:val="1"/>
        </w:numPr>
        <w:jc w:val="both"/>
      </w:pPr>
      <w:r>
        <w:t xml:space="preserve">MORE </w:t>
      </w:r>
      <w:proofErr w:type="spellStart"/>
      <w:r>
        <w:t>tx</w:t>
      </w:r>
      <w:proofErr w:type="spellEnd"/>
      <w:r>
        <w:t xml:space="preserve"> failure in the HFNC group </w:t>
      </w:r>
      <w:proofErr w:type="spellStart"/>
      <w:r>
        <w:t>vs</w:t>
      </w:r>
      <w:proofErr w:type="spellEnd"/>
      <w:r>
        <w:t xml:space="preserve"> nasal CPAP group</w:t>
      </w:r>
    </w:p>
    <w:p w:rsidR="0080217F" w:rsidRDefault="0080217F" w:rsidP="0080217F">
      <w:pPr>
        <w:pStyle w:val="Paragraphedeliste"/>
        <w:numPr>
          <w:ilvl w:val="0"/>
          <w:numId w:val="1"/>
        </w:numPr>
        <w:jc w:val="both"/>
      </w:pPr>
      <w:r>
        <w:t>Most common reason was FiO2 &gt; or =40%</w:t>
      </w:r>
    </w:p>
    <w:p w:rsidR="0080217F" w:rsidRDefault="0080217F" w:rsidP="0080217F">
      <w:pPr>
        <w:pStyle w:val="Paragraphedeliste"/>
        <w:numPr>
          <w:ilvl w:val="0"/>
          <w:numId w:val="1"/>
        </w:numPr>
        <w:jc w:val="both"/>
      </w:pPr>
      <w:proofErr w:type="spellStart"/>
      <w:r>
        <w:t>Tx</w:t>
      </w:r>
      <w:proofErr w:type="spellEnd"/>
      <w:r>
        <w:t xml:space="preserve"> failure due to urgent need for intubation </w:t>
      </w:r>
      <w:proofErr w:type="spellStart"/>
      <w:r>
        <w:t>occured</w:t>
      </w:r>
      <w:proofErr w:type="spellEnd"/>
      <w:r>
        <w:t xml:space="preserve"> more frequently in CPAP group</w:t>
      </w:r>
    </w:p>
    <w:p w:rsidR="0080217F" w:rsidRDefault="0080217F" w:rsidP="0080217F">
      <w:pPr>
        <w:pStyle w:val="Paragraphedeliste"/>
        <w:numPr>
          <w:ilvl w:val="0"/>
          <w:numId w:val="1"/>
        </w:numPr>
        <w:jc w:val="both"/>
      </w:pPr>
      <w:r>
        <w:t xml:space="preserve">Median duration of </w:t>
      </w:r>
      <w:proofErr w:type="spellStart"/>
      <w:r>
        <w:t>resp</w:t>
      </w:r>
      <w:proofErr w:type="spellEnd"/>
      <w:r>
        <w:t xml:space="preserve"> support was 1 day longer in HFNC than CPAP (4 </w:t>
      </w:r>
      <w:proofErr w:type="spellStart"/>
      <w:r>
        <w:t>vs</w:t>
      </w:r>
      <w:proofErr w:type="spellEnd"/>
      <w:r>
        <w:t xml:space="preserve"> 3 days)</w:t>
      </w:r>
    </w:p>
    <w:p w:rsidR="0080217F" w:rsidRDefault="0080217F" w:rsidP="0080217F">
      <w:pPr>
        <w:pStyle w:val="Paragraphedeliste"/>
        <w:numPr>
          <w:ilvl w:val="0"/>
          <w:numId w:val="1"/>
        </w:numPr>
        <w:jc w:val="both"/>
      </w:pPr>
      <w:r>
        <w:t xml:space="preserve">More nasal trauma in CPAP.  </w:t>
      </w:r>
    </w:p>
    <w:p w:rsidR="0080217F" w:rsidRDefault="0080217F" w:rsidP="0080217F">
      <w:pPr>
        <w:pStyle w:val="Paragraphedeliste"/>
        <w:numPr>
          <w:ilvl w:val="0"/>
          <w:numId w:val="1"/>
        </w:numPr>
        <w:jc w:val="both"/>
      </w:pPr>
      <w:r>
        <w:t>More pneumothorax in CPAP</w:t>
      </w:r>
    </w:p>
    <w:p w:rsidR="0080217F" w:rsidRDefault="0080217F" w:rsidP="0080217F">
      <w:pPr>
        <w:pStyle w:val="Paragraphedeliste"/>
        <w:numPr>
          <w:ilvl w:val="0"/>
          <w:numId w:val="1"/>
        </w:numPr>
        <w:jc w:val="both"/>
      </w:pPr>
      <w:r>
        <w:t>Same cost</w:t>
      </w:r>
    </w:p>
    <w:p w:rsidR="00F35E2F" w:rsidRDefault="00F35E2F" w:rsidP="00F35E2F">
      <w:pPr>
        <w:jc w:val="both"/>
      </w:pPr>
    </w:p>
    <w:p w:rsidR="00F35E2F" w:rsidRDefault="00F35E2F" w:rsidP="00F35E2F">
      <w:pPr>
        <w:jc w:val="both"/>
      </w:pPr>
    </w:p>
    <w:p w:rsidR="00F35E2F" w:rsidRDefault="00F35E2F" w:rsidP="00F35E2F">
      <w:pPr>
        <w:jc w:val="both"/>
      </w:pPr>
    </w:p>
    <w:p w:rsidR="00F35E2F" w:rsidRDefault="00F35E2F" w:rsidP="00F35E2F">
      <w:pPr>
        <w:jc w:val="both"/>
      </w:pPr>
    </w:p>
    <w:p w:rsidR="00F35E2F" w:rsidRDefault="00F35E2F" w:rsidP="00F35E2F">
      <w:pPr>
        <w:jc w:val="both"/>
      </w:pPr>
    </w:p>
    <w:p w:rsidR="00432309" w:rsidRDefault="00432309" w:rsidP="00F35E2F">
      <w:pPr>
        <w:jc w:val="both"/>
      </w:pPr>
    </w:p>
    <w:p w:rsidR="00432309" w:rsidRDefault="00432309" w:rsidP="00F35E2F">
      <w:pPr>
        <w:jc w:val="both"/>
      </w:pPr>
    </w:p>
    <w:p w:rsidR="00F35E2F" w:rsidRDefault="00F35E2F" w:rsidP="00F35E2F">
      <w:pPr>
        <w:jc w:val="both"/>
      </w:pPr>
      <w:r>
        <w:t xml:space="preserve">N </w:t>
      </w:r>
      <w:proofErr w:type="spellStart"/>
      <w:r>
        <w:t>Engl</w:t>
      </w:r>
      <w:proofErr w:type="spellEnd"/>
      <w:r>
        <w:t xml:space="preserve"> J Med. 2016 Sep 22; 375(12)</w:t>
      </w:r>
      <w:proofErr w:type="gramStart"/>
      <w:r>
        <w:t>:1119</w:t>
      </w:r>
      <w:proofErr w:type="gramEnd"/>
      <w:r>
        <w:t>-30</w:t>
      </w:r>
    </w:p>
    <w:p w:rsidR="00F35E2F" w:rsidRPr="00F35E2F" w:rsidRDefault="00F35E2F" w:rsidP="00F35E2F">
      <w:pPr>
        <w:jc w:val="both"/>
        <w:rPr>
          <w:b/>
        </w:rPr>
      </w:pPr>
      <w:r w:rsidRPr="00F35E2F">
        <w:rPr>
          <w:b/>
        </w:rPr>
        <w:t xml:space="preserve">Trial of </w:t>
      </w:r>
      <w:proofErr w:type="spellStart"/>
      <w:r w:rsidRPr="00F35E2F">
        <w:rPr>
          <w:b/>
        </w:rPr>
        <w:t>Decompressive</w:t>
      </w:r>
      <w:proofErr w:type="spellEnd"/>
      <w:r w:rsidRPr="00F35E2F">
        <w:rPr>
          <w:b/>
        </w:rPr>
        <w:t xml:space="preserve"> </w:t>
      </w:r>
      <w:proofErr w:type="spellStart"/>
      <w:r w:rsidRPr="00F35E2F">
        <w:rPr>
          <w:b/>
        </w:rPr>
        <w:t>Craniectomy</w:t>
      </w:r>
      <w:proofErr w:type="spellEnd"/>
      <w:r w:rsidRPr="00F35E2F">
        <w:rPr>
          <w:b/>
        </w:rPr>
        <w:t xml:space="preserve"> for Traumatic Intracranial Hypertension</w:t>
      </w:r>
    </w:p>
    <w:p w:rsidR="00F35E2F" w:rsidRDefault="00F35E2F" w:rsidP="00F35E2F">
      <w:pPr>
        <w:jc w:val="both"/>
      </w:pPr>
    </w:p>
    <w:p w:rsidR="00F35E2F" w:rsidRDefault="00F35E2F" w:rsidP="00F35E2F">
      <w:pPr>
        <w:jc w:val="both"/>
      </w:pPr>
      <w:r w:rsidRPr="00F35E2F">
        <w:rPr>
          <w:b/>
        </w:rPr>
        <w:t>Background:</w:t>
      </w:r>
      <w:r>
        <w:t xml:space="preserve">  The effect of </w:t>
      </w:r>
      <w:proofErr w:type="spellStart"/>
      <w:r>
        <w:t>decompressive</w:t>
      </w:r>
      <w:proofErr w:type="spellEnd"/>
      <w:r>
        <w:t xml:space="preserve"> </w:t>
      </w:r>
      <w:proofErr w:type="spellStart"/>
      <w:r>
        <w:t>craniectomy</w:t>
      </w:r>
      <w:proofErr w:type="spellEnd"/>
      <w:r>
        <w:t xml:space="preserve"> on clinical outcomes in patients with refractory traumatic intracranial hypertension remains unclear. </w:t>
      </w:r>
    </w:p>
    <w:p w:rsidR="00F35E2F" w:rsidRDefault="00F35E2F" w:rsidP="00F35E2F">
      <w:pPr>
        <w:jc w:val="both"/>
      </w:pPr>
    </w:p>
    <w:p w:rsidR="00F35E2F" w:rsidRDefault="00F35E2F" w:rsidP="00F35E2F">
      <w:pPr>
        <w:jc w:val="both"/>
      </w:pPr>
      <w:r w:rsidRPr="00F35E2F">
        <w:rPr>
          <w:b/>
        </w:rPr>
        <w:t>Methods:</w:t>
      </w:r>
      <w:r>
        <w:t xml:space="preserve"> From 2004 through 2014, we randomly assigned 408 patients, 10 to 65 years of age, with traumatic brain injury and refractory elevated intracranial pressure (&gt;25 mm Hg) to undergo </w:t>
      </w:r>
      <w:proofErr w:type="spellStart"/>
      <w:r>
        <w:t>decompressive</w:t>
      </w:r>
      <w:proofErr w:type="spellEnd"/>
      <w:r>
        <w:t xml:space="preserve"> </w:t>
      </w:r>
      <w:proofErr w:type="spellStart"/>
      <w:r>
        <w:t>craniectomy</w:t>
      </w:r>
      <w:proofErr w:type="spellEnd"/>
      <w:r>
        <w:t xml:space="preserve"> or receive ongoing medical care. The primary outcome was the rating on the Extended Glasgow Outcome Scale (GOS-E) (an 8-point scale, ranging from death to "upper good recovery" [no injury-related problems]) at 6 months. The primary-outcome measure was analyzed with an ordinal method based on the proportional-odds model. If the model was rejected, that would indicate a significant difference in the GOS-E distribution, and results would be reported descriptively.</w:t>
      </w:r>
    </w:p>
    <w:p w:rsidR="00F35E2F" w:rsidRDefault="00F35E2F" w:rsidP="00F35E2F">
      <w:pPr>
        <w:jc w:val="both"/>
      </w:pPr>
    </w:p>
    <w:p w:rsidR="00F35E2F" w:rsidRDefault="00F35E2F" w:rsidP="00F35E2F">
      <w:pPr>
        <w:jc w:val="both"/>
      </w:pPr>
      <w:r w:rsidRPr="00F35E2F">
        <w:rPr>
          <w:b/>
        </w:rPr>
        <w:t>Results:</w:t>
      </w:r>
      <w:r>
        <w:t xml:space="preserve"> The GOS-E distribution differed between the two groups (P&lt;0.001). The proportional-odds assumption was rejected, and therefore results are reported descriptively. At 6 months, the GOS-E distributions were as follows: death, 26.9% among 201 patients in the surgical group versus 48.9% among 188 patients in the medical group; vegetative state, 8.5% versus 2.1%; lower severe disability (dependent on others for care), 21.9% versus 14.4%; upper severe disability (independent at home), 15.4% versus 8.0%; moderate disability, 23.4% versus 19.7%; and good recovery, 4.0% versus 6.9%. At 12 months, the GOS-E distributions were as follows: death, 30.4% among 194 surgical patients versus 52.0% among 179 medical patients; vegetative state, 6.2% versus 1.7%; lower severe disability, 18.0% versus 14.0%; upper severe disability, 13.4% versus 3.9%; moderate disability, 22.2% versus 20.1%; and good recovery, 9.8% versus 8.4%. Surgical patients had fewer hours than medical patients with intracranial pressure above 25 mm Hg after randomization (median, 5.0 vs. 17.0 hours; P&lt;0.001) but had a higher rate of adverse events (16.3% vs. 9.2%, P=0.03).</w:t>
      </w:r>
    </w:p>
    <w:p w:rsidR="00F35E2F" w:rsidRDefault="00F35E2F" w:rsidP="00F35E2F">
      <w:pPr>
        <w:jc w:val="both"/>
      </w:pPr>
    </w:p>
    <w:p w:rsidR="00F35E2F" w:rsidRDefault="00F35E2F" w:rsidP="00F35E2F">
      <w:pPr>
        <w:jc w:val="both"/>
      </w:pPr>
      <w:r w:rsidRPr="00F35E2F">
        <w:rPr>
          <w:b/>
        </w:rPr>
        <w:t>Conclusions:</w:t>
      </w:r>
      <w:r>
        <w:t xml:space="preserve">  At 6 months, </w:t>
      </w:r>
      <w:proofErr w:type="spellStart"/>
      <w:r>
        <w:t>decompressive</w:t>
      </w:r>
      <w:proofErr w:type="spellEnd"/>
      <w:r>
        <w:t xml:space="preserve"> </w:t>
      </w:r>
      <w:proofErr w:type="spellStart"/>
      <w:r>
        <w:t>craniectomy</w:t>
      </w:r>
      <w:proofErr w:type="spellEnd"/>
      <w:r>
        <w:t xml:space="preserve"> in patients with traumatic brain injury and refractory intracranial hypertension </w:t>
      </w:r>
      <w:r w:rsidRPr="002B6EDC">
        <w:rPr>
          <w:highlight w:val="yellow"/>
        </w:rPr>
        <w:t>resulted in lower mortality and higher rates of vegetative state, lower severe disability, and upper severe disability than medical care. The rates of moderate disability and good recovery were similar in the two groups</w:t>
      </w:r>
      <w:r>
        <w:t>. (</w:t>
      </w:r>
      <w:proofErr w:type="spellStart"/>
      <w:r w:rsidR="002B6EDC">
        <w:t>RESCUEicp</w:t>
      </w:r>
      <w:proofErr w:type="spellEnd"/>
      <w:r w:rsidR="002B6EDC">
        <w:t>)</w:t>
      </w:r>
    </w:p>
    <w:p w:rsidR="002B6EDC" w:rsidRDefault="002B6EDC" w:rsidP="00F35E2F">
      <w:pPr>
        <w:jc w:val="both"/>
      </w:pPr>
    </w:p>
    <w:p w:rsidR="002B6EDC" w:rsidRDefault="00EC37CF" w:rsidP="002B6EDC">
      <w:pPr>
        <w:jc w:val="both"/>
      </w:pPr>
      <w:hyperlink r:id="rId7" w:history="1">
        <w:r w:rsidRPr="009A0316">
          <w:rPr>
            <w:rStyle w:val="Lienhypertexte"/>
          </w:rPr>
          <w:t>http://www.nejm.org/doi/full/10.1056/NEJMoa1605215</w:t>
        </w:r>
      </w:hyperlink>
    </w:p>
    <w:p w:rsidR="00EC37CF" w:rsidRDefault="00EC37CF" w:rsidP="002B6EDC">
      <w:pPr>
        <w:jc w:val="both"/>
      </w:pPr>
    </w:p>
    <w:p w:rsidR="002B6EDC" w:rsidRDefault="002B6EDC" w:rsidP="00F35E2F">
      <w:pPr>
        <w:jc w:val="both"/>
      </w:pPr>
    </w:p>
    <w:p w:rsidR="002B6EDC" w:rsidRDefault="002B6EDC" w:rsidP="00F35E2F">
      <w:pPr>
        <w:jc w:val="both"/>
      </w:pPr>
    </w:p>
    <w:p w:rsidR="002B6EDC" w:rsidRDefault="002B6EDC" w:rsidP="00F35E2F">
      <w:pPr>
        <w:jc w:val="both"/>
      </w:pPr>
    </w:p>
    <w:p w:rsidR="002B6EDC" w:rsidRDefault="002B6EDC" w:rsidP="00F35E2F">
      <w:pPr>
        <w:jc w:val="both"/>
      </w:pPr>
      <w:r>
        <w:rPr>
          <w:rFonts w:eastAsia="Times New Roman" w:cs="Times New Roman"/>
          <w:noProof/>
          <w:lang w:val="fr-FR"/>
        </w:rPr>
        <w:drawing>
          <wp:inline distT="0" distB="0" distL="0" distR="0" wp14:anchorId="4CF69A2B" wp14:editId="2B8537EB">
            <wp:extent cx="4384292" cy="1607574"/>
            <wp:effectExtent l="0" t="0" r="10160" b="0"/>
            <wp:docPr id="1" name="Image 1" descr="creen-shot-2016-09-09-at-5-08-15-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en-shot-2016-09-09-at-5-08-15-p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5659" cy="1608075"/>
                    </a:xfrm>
                    <a:prstGeom prst="rect">
                      <a:avLst/>
                    </a:prstGeom>
                    <a:noFill/>
                    <a:ln>
                      <a:noFill/>
                    </a:ln>
                  </pic:spPr>
                </pic:pic>
              </a:graphicData>
            </a:graphic>
          </wp:inline>
        </w:drawing>
      </w:r>
    </w:p>
    <w:p w:rsidR="002B6EDC" w:rsidRDefault="002B6EDC" w:rsidP="00F35E2F">
      <w:pPr>
        <w:jc w:val="both"/>
        <w:rPr>
          <w:rFonts w:ascii="Georgia" w:eastAsia="Times New Roman" w:hAnsi="Georgia" w:cs="Times New Roman"/>
          <w:color w:val="333333"/>
        </w:rPr>
      </w:pPr>
      <w:r>
        <w:rPr>
          <w:rFonts w:ascii="Georgia" w:eastAsia="Times New Roman" w:hAnsi="Georgia" w:cs="Times New Roman"/>
          <w:color w:val="333333"/>
        </w:rPr>
        <w:t>The shift in neurological outcomes was primarily observed in patients moving from death to severe disability (quality of life?)</w:t>
      </w:r>
    </w:p>
    <w:p w:rsidR="002B6EDC" w:rsidRDefault="002B6EDC" w:rsidP="00F35E2F">
      <w:pPr>
        <w:jc w:val="both"/>
        <w:rPr>
          <w:rFonts w:ascii="Georgia" w:eastAsia="Times New Roman" w:hAnsi="Georgia" w:cs="Times New Roman"/>
          <w:color w:val="333333"/>
        </w:rPr>
      </w:pPr>
    </w:p>
    <w:p w:rsidR="002B6EDC" w:rsidRDefault="002B6EDC" w:rsidP="00F35E2F">
      <w:pPr>
        <w:jc w:val="both"/>
      </w:pPr>
      <w:r>
        <w:rPr>
          <w:rFonts w:ascii="Georgia" w:eastAsia="Times New Roman" w:hAnsi="Georgia" w:cs="Times New Roman"/>
          <w:color w:val="333333"/>
        </w:rPr>
        <w:t>Yellow (upper severe disability): functionally independent at home, but requires assistance in public</w:t>
      </w:r>
    </w:p>
    <w:p w:rsidR="002B6EDC" w:rsidRDefault="002B6EDC" w:rsidP="00F35E2F">
      <w:pPr>
        <w:jc w:val="both"/>
      </w:pPr>
    </w:p>
    <w:p w:rsidR="002B6EDC" w:rsidRDefault="002B6EDC" w:rsidP="00F35E2F">
      <w:pPr>
        <w:jc w:val="both"/>
        <w:rPr>
          <w:rFonts w:ascii="Georgia" w:eastAsia="Times New Roman" w:hAnsi="Georgia" w:cs="Times New Roman"/>
          <w:color w:val="333333"/>
        </w:rPr>
      </w:pPr>
      <w:r w:rsidRPr="002B6EDC">
        <w:rPr>
          <w:rFonts w:ascii="Georgia" w:eastAsia="Times New Roman" w:hAnsi="Georgia" w:cs="Times New Roman"/>
          <w:b/>
          <w:color w:val="333333"/>
        </w:rPr>
        <w:t>DECRA</w:t>
      </w:r>
      <w:r>
        <w:rPr>
          <w:rFonts w:ascii="Georgia" w:eastAsia="Times New Roman" w:hAnsi="Georgia" w:cs="Times New Roman"/>
          <w:b/>
          <w:color w:val="333333"/>
        </w:rPr>
        <w:t xml:space="preserve"> </w:t>
      </w:r>
      <w:r w:rsidRPr="002B6EDC">
        <w:rPr>
          <w:rFonts w:ascii="Georgia" w:eastAsia="Times New Roman" w:hAnsi="Georgia" w:cs="Times New Roman"/>
          <w:color w:val="333333"/>
        </w:rPr>
        <w:t>(2011)</w:t>
      </w:r>
      <w:r>
        <w:rPr>
          <w:rFonts w:ascii="Georgia" w:eastAsia="Times New Roman" w:hAnsi="Georgia" w:cs="Times New Roman"/>
          <w:color w:val="333333"/>
        </w:rPr>
        <w:t xml:space="preserve"> randomized 155 patients with TBI and refractory intracranial hypertension to either </w:t>
      </w:r>
      <w:proofErr w:type="spellStart"/>
      <w:r>
        <w:rPr>
          <w:rFonts w:ascii="Georgia" w:eastAsia="Times New Roman" w:hAnsi="Georgia" w:cs="Times New Roman"/>
          <w:color w:val="333333"/>
        </w:rPr>
        <w:t>decompressive</w:t>
      </w:r>
      <w:proofErr w:type="spellEnd"/>
      <w:r>
        <w:rPr>
          <w:rFonts w:ascii="Georgia" w:eastAsia="Times New Roman" w:hAnsi="Georgia" w:cs="Times New Roman"/>
          <w:color w:val="333333"/>
        </w:rPr>
        <w:t xml:space="preserve"> </w:t>
      </w:r>
      <w:proofErr w:type="spellStart"/>
      <w:r>
        <w:rPr>
          <w:rFonts w:ascii="Georgia" w:eastAsia="Times New Roman" w:hAnsi="Georgia" w:cs="Times New Roman"/>
          <w:color w:val="333333"/>
        </w:rPr>
        <w:t>craniectomy</w:t>
      </w:r>
      <w:proofErr w:type="spellEnd"/>
      <w:r>
        <w:rPr>
          <w:rFonts w:ascii="Georgia" w:eastAsia="Times New Roman" w:hAnsi="Georgia" w:cs="Times New Roman"/>
          <w:color w:val="333333"/>
        </w:rPr>
        <w:t xml:space="preserve"> or medical management. Specifically, the authors examined the clinical benefit of early </w:t>
      </w:r>
      <w:proofErr w:type="spellStart"/>
      <w:r>
        <w:rPr>
          <w:rFonts w:ascii="Georgia" w:eastAsia="Times New Roman" w:hAnsi="Georgia" w:cs="Times New Roman"/>
          <w:color w:val="333333"/>
        </w:rPr>
        <w:t>decompressive</w:t>
      </w:r>
      <w:proofErr w:type="spellEnd"/>
      <w:r>
        <w:rPr>
          <w:rFonts w:ascii="Georgia" w:eastAsia="Times New Roman" w:hAnsi="Georgia" w:cs="Times New Roman"/>
          <w:color w:val="333333"/>
        </w:rPr>
        <w:t xml:space="preserve"> </w:t>
      </w:r>
      <w:proofErr w:type="spellStart"/>
      <w:r>
        <w:rPr>
          <w:rFonts w:ascii="Georgia" w:eastAsia="Times New Roman" w:hAnsi="Georgia" w:cs="Times New Roman"/>
          <w:color w:val="333333"/>
        </w:rPr>
        <w:t>craniectomy</w:t>
      </w:r>
      <w:proofErr w:type="spellEnd"/>
      <w:r>
        <w:rPr>
          <w:rFonts w:ascii="Georgia" w:eastAsia="Times New Roman" w:hAnsi="Georgia" w:cs="Times New Roman"/>
          <w:color w:val="333333"/>
        </w:rPr>
        <w:t xml:space="preserve"> for the management of refractory hypertension. As such, their inclusion criteria only required patients to experience an </w:t>
      </w:r>
      <w:r w:rsidRPr="002B6EDC">
        <w:rPr>
          <w:rFonts w:ascii="Georgia" w:eastAsia="Times New Roman" w:hAnsi="Georgia" w:cs="Times New Roman"/>
          <w:b/>
          <w:color w:val="333333"/>
          <w:u w:val="single"/>
        </w:rPr>
        <w:t>ICP &gt; 20 mm Hg for 15 minutes</w:t>
      </w:r>
      <w:r>
        <w:rPr>
          <w:rFonts w:ascii="Georgia" w:eastAsia="Times New Roman" w:hAnsi="Georgia" w:cs="Times New Roman"/>
          <w:color w:val="333333"/>
        </w:rPr>
        <w:t xml:space="preserve"> to be eligible for randomization (poor outcome with </w:t>
      </w:r>
      <w:proofErr w:type="spellStart"/>
      <w:r>
        <w:rPr>
          <w:rFonts w:ascii="Georgia" w:eastAsia="Times New Roman" w:hAnsi="Georgia" w:cs="Times New Roman"/>
          <w:color w:val="333333"/>
        </w:rPr>
        <w:t>craniectomy</w:t>
      </w:r>
      <w:proofErr w:type="spellEnd"/>
      <w:r>
        <w:rPr>
          <w:rFonts w:ascii="Georgia" w:eastAsia="Times New Roman" w:hAnsi="Georgia" w:cs="Times New Roman"/>
          <w:color w:val="333333"/>
        </w:rPr>
        <w:t xml:space="preserve">). This is in contrast to </w:t>
      </w:r>
      <w:proofErr w:type="spellStart"/>
      <w:r w:rsidRPr="002B6EDC">
        <w:rPr>
          <w:rFonts w:ascii="Georgia" w:eastAsia="Times New Roman" w:hAnsi="Georgia" w:cs="Times New Roman"/>
          <w:b/>
          <w:color w:val="333333"/>
        </w:rPr>
        <w:t>RESCUEicp</w:t>
      </w:r>
      <w:proofErr w:type="spellEnd"/>
      <w:r>
        <w:rPr>
          <w:rFonts w:ascii="Georgia" w:eastAsia="Times New Roman" w:hAnsi="Georgia" w:cs="Times New Roman"/>
          <w:color w:val="333333"/>
        </w:rPr>
        <w:t xml:space="preserve">, which required patients have an </w:t>
      </w:r>
      <w:r w:rsidRPr="002B6EDC">
        <w:rPr>
          <w:rFonts w:ascii="Georgia" w:eastAsia="Times New Roman" w:hAnsi="Georgia" w:cs="Times New Roman"/>
          <w:b/>
          <w:color w:val="333333"/>
          <w:u w:val="single"/>
        </w:rPr>
        <w:t>ICP &gt; 25 mm Hg for greater than 1-hour</w:t>
      </w:r>
      <w:r>
        <w:rPr>
          <w:rFonts w:ascii="Georgia" w:eastAsia="Times New Roman" w:hAnsi="Georgia" w:cs="Times New Roman"/>
          <w:color w:val="333333"/>
        </w:rPr>
        <w:t>.</w:t>
      </w:r>
    </w:p>
    <w:p w:rsidR="00EC37CF" w:rsidRDefault="00EC37CF" w:rsidP="00F35E2F">
      <w:pPr>
        <w:jc w:val="both"/>
        <w:rPr>
          <w:rFonts w:ascii="Georgia" w:eastAsia="Times New Roman" w:hAnsi="Georgia" w:cs="Times New Roman"/>
          <w:color w:val="333333"/>
        </w:rPr>
      </w:pPr>
    </w:p>
    <w:p w:rsidR="00EC37CF" w:rsidRDefault="00EC37CF" w:rsidP="00F35E2F">
      <w:pPr>
        <w:jc w:val="both"/>
        <w:rPr>
          <w:rFonts w:ascii="Georgia" w:eastAsia="Times New Roman" w:hAnsi="Georgia" w:cs="Times New Roman"/>
          <w:color w:val="333333"/>
        </w:rPr>
      </w:pPr>
      <w:r>
        <w:rPr>
          <w:rFonts w:ascii="Georgia" w:eastAsia="Times New Roman" w:hAnsi="Georgia" w:cs="Times New Roman"/>
          <w:color w:val="333333"/>
        </w:rPr>
        <w:t xml:space="preserve">In DECRA they qualified unfavorable outcome a GOS-E of 1-4. If the same dichotomous cutoff used in the DECRA cohort was utilized in </w:t>
      </w:r>
      <w:proofErr w:type="spellStart"/>
      <w:r>
        <w:rPr>
          <w:rFonts w:ascii="Georgia" w:eastAsia="Times New Roman" w:hAnsi="Georgia" w:cs="Times New Roman"/>
          <w:color w:val="333333"/>
        </w:rPr>
        <w:t>RESCUEicp</w:t>
      </w:r>
      <w:proofErr w:type="spellEnd"/>
      <w:r>
        <w:rPr>
          <w:rFonts w:ascii="Georgia" w:eastAsia="Times New Roman" w:hAnsi="Georgia" w:cs="Times New Roman"/>
          <w:color w:val="333333"/>
        </w:rPr>
        <w:t xml:space="preserve">, then 27.4% and 27.0% of the respective groups would have been considered to </w:t>
      </w:r>
      <w:proofErr w:type="gramStart"/>
      <w:r>
        <w:rPr>
          <w:rFonts w:ascii="Georgia" w:eastAsia="Times New Roman" w:hAnsi="Georgia" w:cs="Times New Roman"/>
          <w:color w:val="333333"/>
        </w:rPr>
        <w:t>have had</w:t>
      </w:r>
      <w:proofErr w:type="gramEnd"/>
      <w:r>
        <w:rPr>
          <w:rFonts w:ascii="Georgia" w:eastAsia="Times New Roman" w:hAnsi="Georgia" w:cs="Times New Roman"/>
          <w:color w:val="333333"/>
        </w:rPr>
        <w:t xml:space="preserve"> a favorable neurological outcome.</w:t>
      </w:r>
    </w:p>
    <w:p w:rsidR="00432309" w:rsidRDefault="00432309" w:rsidP="00F35E2F">
      <w:pPr>
        <w:jc w:val="both"/>
        <w:rPr>
          <w:rFonts w:ascii="Georgia" w:eastAsia="Times New Roman" w:hAnsi="Georgia" w:cs="Times New Roman"/>
          <w:color w:val="333333"/>
        </w:rPr>
      </w:pPr>
    </w:p>
    <w:p w:rsidR="00432309" w:rsidRDefault="00432309" w:rsidP="00F35E2F">
      <w:pPr>
        <w:jc w:val="both"/>
        <w:rPr>
          <w:rFonts w:ascii="Georgia" w:eastAsia="Times New Roman" w:hAnsi="Georgia" w:cs="Times New Roman"/>
          <w:color w:val="333333"/>
        </w:rPr>
      </w:pPr>
    </w:p>
    <w:p w:rsidR="00432309" w:rsidRDefault="00432309" w:rsidP="00F35E2F">
      <w:pPr>
        <w:jc w:val="both"/>
        <w:rPr>
          <w:rFonts w:ascii="Georgia" w:eastAsia="Times New Roman" w:hAnsi="Georgia" w:cs="Times New Roman"/>
          <w:color w:val="333333"/>
        </w:rPr>
      </w:pPr>
    </w:p>
    <w:p w:rsidR="00432309" w:rsidRDefault="00432309" w:rsidP="00F35E2F">
      <w:pPr>
        <w:jc w:val="both"/>
        <w:rPr>
          <w:rFonts w:ascii="Georgia" w:eastAsia="Times New Roman" w:hAnsi="Georgia" w:cs="Times New Roman"/>
          <w:color w:val="333333"/>
        </w:rPr>
      </w:pPr>
    </w:p>
    <w:p w:rsidR="00432309" w:rsidRDefault="00432309" w:rsidP="00F35E2F">
      <w:pPr>
        <w:jc w:val="both"/>
        <w:rPr>
          <w:rFonts w:ascii="Georgia" w:eastAsia="Times New Roman" w:hAnsi="Georgia" w:cs="Times New Roman"/>
          <w:color w:val="333333"/>
        </w:rPr>
      </w:pPr>
    </w:p>
    <w:p w:rsidR="00432309" w:rsidRDefault="00432309" w:rsidP="00F35E2F">
      <w:pPr>
        <w:jc w:val="both"/>
        <w:rPr>
          <w:rFonts w:ascii="Georgia" w:eastAsia="Times New Roman" w:hAnsi="Georgia" w:cs="Times New Roman"/>
          <w:color w:val="333333"/>
        </w:rPr>
      </w:pPr>
    </w:p>
    <w:p w:rsidR="00432309" w:rsidRDefault="00432309" w:rsidP="00F35E2F">
      <w:pPr>
        <w:jc w:val="both"/>
        <w:rPr>
          <w:rFonts w:ascii="Georgia" w:eastAsia="Times New Roman" w:hAnsi="Georgia" w:cs="Times New Roman"/>
          <w:color w:val="333333"/>
        </w:rPr>
      </w:pPr>
    </w:p>
    <w:p w:rsidR="00432309" w:rsidRDefault="00432309" w:rsidP="00F35E2F">
      <w:pPr>
        <w:jc w:val="both"/>
        <w:rPr>
          <w:rFonts w:ascii="Georgia" w:eastAsia="Times New Roman" w:hAnsi="Georgia" w:cs="Times New Roman"/>
          <w:color w:val="333333"/>
        </w:rPr>
      </w:pPr>
    </w:p>
    <w:p w:rsidR="00432309" w:rsidRDefault="00432309" w:rsidP="00F35E2F">
      <w:pPr>
        <w:jc w:val="both"/>
        <w:rPr>
          <w:rFonts w:ascii="Georgia" w:eastAsia="Times New Roman" w:hAnsi="Georgia" w:cs="Times New Roman"/>
          <w:color w:val="333333"/>
        </w:rPr>
      </w:pPr>
    </w:p>
    <w:p w:rsidR="00432309" w:rsidRDefault="00432309" w:rsidP="00F35E2F">
      <w:pPr>
        <w:jc w:val="both"/>
        <w:rPr>
          <w:rFonts w:ascii="Georgia" w:eastAsia="Times New Roman" w:hAnsi="Georgia" w:cs="Times New Roman"/>
          <w:color w:val="333333"/>
        </w:rPr>
      </w:pPr>
    </w:p>
    <w:p w:rsidR="00432309" w:rsidRDefault="00432309" w:rsidP="00F35E2F">
      <w:pPr>
        <w:jc w:val="both"/>
        <w:rPr>
          <w:rFonts w:ascii="Georgia" w:eastAsia="Times New Roman" w:hAnsi="Georgia" w:cs="Times New Roman"/>
          <w:color w:val="333333"/>
        </w:rPr>
      </w:pPr>
    </w:p>
    <w:p w:rsidR="00432309" w:rsidRDefault="00432309" w:rsidP="00F35E2F">
      <w:pPr>
        <w:jc w:val="both"/>
        <w:rPr>
          <w:rFonts w:ascii="Georgia" w:eastAsia="Times New Roman" w:hAnsi="Georgia" w:cs="Times New Roman"/>
          <w:color w:val="333333"/>
        </w:rPr>
      </w:pPr>
    </w:p>
    <w:p w:rsidR="00432309" w:rsidRDefault="00432309" w:rsidP="00F35E2F">
      <w:pPr>
        <w:jc w:val="both"/>
        <w:rPr>
          <w:rFonts w:ascii="Georgia" w:eastAsia="Times New Roman" w:hAnsi="Georgia" w:cs="Times New Roman"/>
          <w:color w:val="333333"/>
        </w:rPr>
      </w:pPr>
    </w:p>
    <w:p w:rsidR="00432309" w:rsidRDefault="00432309" w:rsidP="00F35E2F">
      <w:pPr>
        <w:jc w:val="both"/>
        <w:rPr>
          <w:rFonts w:ascii="Georgia" w:eastAsia="Times New Roman" w:hAnsi="Georgia" w:cs="Times New Roman"/>
          <w:color w:val="333333"/>
        </w:rPr>
      </w:pPr>
    </w:p>
    <w:p w:rsidR="00432309" w:rsidRDefault="00432309" w:rsidP="00F35E2F">
      <w:pPr>
        <w:jc w:val="both"/>
        <w:rPr>
          <w:rFonts w:ascii="Georgia" w:eastAsia="Times New Roman" w:hAnsi="Georgia" w:cs="Times New Roman"/>
          <w:color w:val="333333"/>
        </w:rPr>
      </w:pPr>
    </w:p>
    <w:p w:rsidR="00432309" w:rsidRDefault="00432309" w:rsidP="00F35E2F">
      <w:pPr>
        <w:jc w:val="both"/>
        <w:rPr>
          <w:rFonts w:ascii="Georgia" w:eastAsia="Times New Roman" w:hAnsi="Georgia" w:cs="Times New Roman"/>
          <w:color w:val="333333"/>
        </w:rPr>
      </w:pPr>
    </w:p>
    <w:p w:rsidR="00432309" w:rsidRDefault="00432309" w:rsidP="00F35E2F">
      <w:pPr>
        <w:jc w:val="both"/>
        <w:rPr>
          <w:rFonts w:ascii="Georgia" w:eastAsia="Times New Roman" w:hAnsi="Georgia" w:cs="Times New Roman"/>
          <w:color w:val="333333"/>
        </w:rPr>
      </w:pPr>
    </w:p>
    <w:p w:rsidR="00432309" w:rsidRDefault="00432309" w:rsidP="00F35E2F">
      <w:pPr>
        <w:jc w:val="both"/>
        <w:rPr>
          <w:rFonts w:ascii="Georgia" w:eastAsia="Times New Roman" w:hAnsi="Georgia" w:cs="Times New Roman"/>
          <w:color w:val="333333"/>
        </w:rPr>
      </w:pPr>
    </w:p>
    <w:p w:rsidR="00432309" w:rsidRDefault="00432309" w:rsidP="00F35E2F">
      <w:pPr>
        <w:jc w:val="both"/>
        <w:rPr>
          <w:rFonts w:ascii="Georgia" w:eastAsia="Times New Roman" w:hAnsi="Georgia" w:cs="Times New Roman"/>
          <w:color w:val="333333"/>
        </w:rPr>
      </w:pPr>
    </w:p>
    <w:p w:rsidR="00432309" w:rsidRDefault="00432309" w:rsidP="00F35E2F">
      <w:pPr>
        <w:jc w:val="both"/>
        <w:rPr>
          <w:rFonts w:ascii="Georgia" w:eastAsia="Times New Roman" w:hAnsi="Georgia" w:cs="Times New Roman"/>
          <w:color w:val="333333"/>
        </w:rPr>
      </w:pPr>
    </w:p>
    <w:p w:rsidR="00CA64E1" w:rsidRDefault="00CA64E1" w:rsidP="00CA64E1">
      <w:pPr>
        <w:jc w:val="both"/>
      </w:pPr>
      <w:r>
        <w:t xml:space="preserve">N </w:t>
      </w:r>
      <w:proofErr w:type="spellStart"/>
      <w:r>
        <w:t>Engl</w:t>
      </w:r>
      <w:proofErr w:type="spellEnd"/>
      <w:r>
        <w:t xml:space="preserve"> J </w:t>
      </w:r>
      <w:r>
        <w:t>Med. 2016 Aug 11; 375(6)</w:t>
      </w:r>
      <w:proofErr w:type="gramStart"/>
      <w:r>
        <w:t>:534</w:t>
      </w:r>
      <w:proofErr w:type="gramEnd"/>
      <w:r>
        <w:t>-44</w:t>
      </w:r>
    </w:p>
    <w:p w:rsidR="00CA64E1" w:rsidRPr="00CA64E1" w:rsidRDefault="00CA64E1" w:rsidP="00CA64E1">
      <w:pPr>
        <w:jc w:val="both"/>
        <w:rPr>
          <w:b/>
        </w:rPr>
      </w:pPr>
      <w:r w:rsidRPr="00CA64E1">
        <w:rPr>
          <w:b/>
        </w:rPr>
        <w:t xml:space="preserve">Extended </w:t>
      </w:r>
      <w:proofErr w:type="spellStart"/>
      <w:r w:rsidRPr="00CA64E1">
        <w:rPr>
          <w:b/>
        </w:rPr>
        <w:t>Thromboprophylaxis</w:t>
      </w:r>
      <w:proofErr w:type="spellEnd"/>
      <w:r w:rsidRPr="00CA64E1">
        <w:rPr>
          <w:b/>
        </w:rPr>
        <w:t xml:space="preserve"> with </w:t>
      </w:r>
      <w:proofErr w:type="spellStart"/>
      <w:r w:rsidRPr="00CA64E1">
        <w:rPr>
          <w:b/>
        </w:rPr>
        <w:t>Betrixaban</w:t>
      </w:r>
      <w:proofErr w:type="spellEnd"/>
      <w:r w:rsidRPr="00CA64E1">
        <w:rPr>
          <w:b/>
        </w:rPr>
        <w:t xml:space="preserve"> in Acutely Ill Medical Patients.</w:t>
      </w:r>
    </w:p>
    <w:p w:rsidR="00CA64E1" w:rsidRDefault="00CA64E1" w:rsidP="00CA64E1">
      <w:pPr>
        <w:jc w:val="both"/>
      </w:pPr>
    </w:p>
    <w:p w:rsidR="00CA64E1" w:rsidRDefault="00CA64E1" w:rsidP="00CA64E1">
      <w:pPr>
        <w:jc w:val="both"/>
      </w:pPr>
      <w:r w:rsidRPr="00CA64E1">
        <w:rPr>
          <w:b/>
        </w:rPr>
        <w:t>BACKGROUND:</w:t>
      </w:r>
      <w:r>
        <w:t xml:space="preserve"> </w:t>
      </w:r>
      <w:r>
        <w:t xml:space="preserve">Patients with acute medical illnesses are at prolonged risk for venous thrombosis. However, the appropriate duration of </w:t>
      </w:r>
      <w:proofErr w:type="spellStart"/>
      <w:r>
        <w:t>thromboprophylaxis</w:t>
      </w:r>
      <w:proofErr w:type="spellEnd"/>
      <w:r>
        <w:t xml:space="preserve"> remains unknown.</w:t>
      </w:r>
    </w:p>
    <w:p w:rsidR="00CA64E1" w:rsidRDefault="00CA64E1" w:rsidP="00CA64E1">
      <w:pPr>
        <w:jc w:val="both"/>
      </w:pPr>
    </w:p>
    <w:p w:rsidR="00CA64E1" w:rsidRDefault="00CA64E1" w:rsidP="00CA64E1">
      <w:pPr>
        <w:jc w:val="both"/>
      </w:pPr>
      <w:r w:rsidRPr="00CA64E1">
        <w:rPr>
          <w:b/>
        </w:rPr>
        <w:t>METHODS:</w:t>
      </w:r>
      <w:r>
        <w:t xml:space="preserve"> </w:t>
      </w:r>
      <w:r>
        <w:t xml:space="preserve">Patients who were hospitalized for acute medical illnesses were randomly assigned to receive subcutaneous enoxaparin (at a dose of 40 mg once daily) for 10±4 days plus oral </w:t>
      </w:r>
      <w:proofErr w:type="spellStart"/>
      <w:r>
        <w:t>betrixaban</w:t>
      </w:r>
      <w:proofErr w:type="spellEnd"/>
      <w:r>
        <w:t xml:space="preserve"> placebo for 35 to 42 days or subcutaneous enoxaparin placebo for 10±4 days plus oral </w:t>
      </w:r>
      <w:proofErr w:type="spellStart"/>
      <w:r>
        <w:t>betrixaban</w:t>
      </w:r>
      <w:proofErr w:type="spellEnd"/>
      <w:r>
        <w:t xml:space="preserve"> (at a dose of 80 mg once daily) for 35 to 42 days. We performed sequential analyses in three </w:t>
      </w:r>
      <w:proofErr w:type="spellStart"/>
      <w:r>
        <w:t>prespecified</w:t>
      </w:r>
      <w:proofErr w:type="spellEnd"/>
      <w:r>
        <w:t>, progressively inclusive cohorts: patients with an elevated d-dimer level (cohort 1), patients with an elevated d-dimer level or an age of at least 75 years (cohort 2), and all the enrolled patients (overall population cohort). The statistical analysis plan specified that if the between-group difference in any analysis in this sequence was not significant, the other analyses would be considered exploratory. The primary efficacy outcome was a composite of asymptomatic proximal deep-vein thrombosis and symptomatic venous thromboembolism. The principal safety outcome was major bleeding.</w:t>
      </w:r>
    </w:p>
    <w:p w:rsidR="00CA64E1" w:rsidRDefault="00CA64E1" w:rsidP="00CA64E1">
      <w:pPr>
        <w:jc w:val="both"/>
      </w:pPr>
    </w:p>
    <w:p w:rsidR="00CA64E1" w:rsidRDefault="00CA64E1" w:rsidP="00CA64E1">
      <w:pPr>
        <w:jc w:val="both"/>
      </w:pPr>
      <w:r w:rsidRPr="00CA64E1">
        <w:rPr>
          <w:b/>
        </w:rPr>
        <w:t>RESULTS:</w:t>
      </w:r>
      <w:r>
        <w:t xml:space="preserve"> </w:t>
      </w:r>
      <w:r>
        <w:t xml:space="preserve">A total of 7513 patients underwent randomization. In cohort 1, the primary efficacy outcome occurred in 6.9% of patients receiving </w:t>
      </w:r>
      <w:proofErr w:type="spellStart"/>
      <w:r>
        <w:t>betrixaban</w:t>
      </w:r>
      <w:proofErr w:type="spellEnd"/>
      <w:r>
        <w:t xml:space="preserve"> and 8.5% receiving enoxaparin (relative risk in the </w:t>
      </w:r>
      <w:proofErr w:type="spellStart"/>
      <w:r>
        <w:t>betrixaban</w:t>
      </w:r>
      <w:proofErr w:type="spellEnd"/>
      <w:r>
        <w:t xml:space="preserve"> group, 0.81; 95% confidence interval [CI], 0.65 to 1.00; P=0.054). The rates were 5.6% and 7.1%, respectively (relative risk, 0.80; 95% CI, 0.66 to 0.98; P=0.03) in cohort 2 and 5.3% and 7.0% (relative risk, 0.76; 95% CI, 0.63 to 0.92; P=0.006) in the overall population. (The last two analyses were considered to be exploratory owing to the result in cohort 1.) In the overall population, major bleeding occurred in 0.7% of the </w:t>
      </w:r>
      <w:proofErr w:type="spellStart"/>
      <w:r>
        <w:t>betrixaban</w:t>
      </w:r>
      <w:proofErr w:type="spellEnd"/>
      <w:r>
        <w:t xml:space="preserve"> group and 0.6% of the enoxaparin group (relative risk, 1.19; 95% CI, 0.67 to 2.12; P=0.55).</w:t>
      </w:r>
    </w:p>
    <w:p w:rsidR="00CA64E1" w:rsidRDefault="00CA64E1" w:rsidP="00CA64E1">
      <w:pPr>
        <w:jc w:val="both"/>
      </w:pPr>
    </w:p>
    <w:p w:rsidR="00432309" w:rsidRPr="002B6EDC" w:rsidRDefault="00CA64E1" w:rsidP="00CA64E1">
      <w:pPr>
        <w:jc w:val="both"/>
      </w:pPr>
      <w:r w:rsidRPr="00CA64E1">
        <w:rPr>
          <w:b/>
        </w:rPr>
        <w:t>CONCLUSIONS:</w:t>
      </w:r>
      <w:r>
        <w:t xml:space="preserve"> </w:t>
      </w:r>
      <w:r>
        <w:t xml:space="preserve">Among acutely ill medical patients with an elevated d-dimer level, there was no significant difference between extended-duration </w:t>
      </w:r>
      <w:proofErr w:type="spellStart"/>
      <w:r>
        <w:t>betrixaban</w:t>
      </w:r>
      <w:proofErr w:type="spellEnd"/>
      <w:r>
        <w:t xml:space="preserve"> and a standard regimen of enoxaparin in the </w:t>
      </w:r>
      <w:proofErr w:type="spellStart"/>
      <w:r>
        <w:t>prespecified</w:t>
      </w:r>
      <w:proofErr w:type="spellEnd"/>
      <w:r>
        <w:t xml:space="preserve"> primary efficacy outcome. However, </w:t>
      </w:r>
      <w:proofErr w:type="spellStart"/>
      <w:r>
        <w:t>prespecified</w:t>
      </w:r>
      <w:proofErr w:type="spellEnd"/>
      <w:r>
        <w:t xml:space="preserve"> exploratory analyses provided evidence suggesting a benefit for </w:t>
      </w:r>
      <w:proofErr w:type="spellStart"/>
      <w:r>
        <w:t>betrixaban</w:t>
      </w:r>
      <w:proofErr w:type="spellEnd"/>
      <w:r>
        <w:t xml:space="preserve"> in the two larger cohorts. (APEX</w:t>
      </w:r>
      <w:r>
        <w:t>)</w:t>
      </w:r>
      <w:bookmarkStart w:id="0" w:name="_GoBack"/>
      <w:bookmarkEnd w:id="0"/>
    </w:p>
    <w:p w:rsidR="00F35E2F" w:rsidRPr="002B6EDC" w:rsidRDefault="00F35E2F" w:rsidP="00F35E2F">
      <w:pPr>
        <w:jc w:val="both"/>
        <w:rPr>
          <w:b/>
          <w:u w:val="single"/>
        </w:rPr>
      </w:pPr>
    </w:p>
    <w:p w:rsidR="00F35E2F" w:rsidRDefault="00F35E2F" w:rsidP="00F35E2F">
      <w:pPr>
        <w:jc w:val="both"/>
      </w:pPr>
    </w:p>
    <w:p w:rsidR="00F35E2F" w:rsidRDefault="00F35E2F" w:rsidP="00F35E2F">
      <w:pPr>
        <w:jc w:val="both"/>
      </w:pPr>
    </w:p>
    <w:p w:rsidR="00F35E2F" w:rsidRDefault="00F35E2F" w:rsidP="00F35E2F">
      <w:pPr>
        <w:jc w:val="both"/>
      </w:pPr>
    </w:p>
    <w:p w:rsidR="00F35E2F" w:rsidRDefault="00F35E2F" w:rsidP="00F35E2F">
      <w:pPr>
        <w:jc w:val="both"/>
      </w:pPr>
    </w:p>
    <w:sectPr w:rsidR="00F35E2F"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00000003" w:usb1="00000000" w:usb2="00000000" w:usb3="00000000" w:csb0="00000001"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676586"/>
    <w:multiLevelType w:val="hybridMultilevel"/>
    <w:tmpl w:val="43B86E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6EE"/>
    <w:rsid w:val="001C46EE"/>
    <w:rsid w:val="002B6EDC"/>
    <w:rsid w:val="002C4D29"/>
    <w:rsid w:val="00432309"/>
    <w:rsid w:val="00437961"/>
    <w:rsid w:val="0080217F"/>
    <w:rsid w:val="009C411F"/>
    <w:rsid w:val="00CA64E1"/>
    <w:rsid w:val="00EC37CF"/>
    <w:rsid w:val="00F35E2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6F87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0217F"/>
    <w:pPr>
      <w:ind w:left="720"/>
      <w:contextualSpacing/>
    </w:pPr>
  </w:style>
  <w:style w:type="paragraph" w:styleId="Textedebulles">
    <w:name w:val="Balloon Text"/>
    <w:basedOn w:val="Normal"/>
    <w:link w:val="TextedebullesCar"/>
    <w:uiPriority w:val="99"/>
    <w:semiHidden/>
    <w:unhideWhenUsed/>
    <w:rsid w:val="002B6EDC"/>
    <w:rPr>
      <w:rFonts w:ascii="Lucida Grande" w:hAnsi="Lucida Grande"/>
      <w:sz w:val="18"/>
      <w:szCs w:val="18"/>
    </w:rPr>
  </w:style>
  <w:style w:type="character" w:customStyle="1" w:styleId="TextedebullesCar">
    <w:name w:val="Texte de bulles Car"/>
    <w:basedOn w:val="Policepardfaut"/>
    <w:link w:val="Textedebulles"/>
    <w:uiPriority w:val="99"/>
    <w:semiHidden/>
    <w:rsid w:val="002B6EDC"/>
    <w:rPr>
      <w:rFonts w:ascii="Lucida Grande" w:hAnsi="Lucida Grande"/>
      <w:sz w:val="18"/>
      <w:szCs w:val="18"/>
      <w:lang w:val="en-US"/>
    </w:rPr>
  </w:style>
  <w:style w:type="character" w:styleId="Lienhypertexte">
    <w:name w:val="Hyperlink"/>
    <w:basedOn w:val="Policepardfaut"/>
    <w:uiPriority w:val="99"/>
    <w:unhideWhenUsed/>
    <w:rsid w:val="00EC37CF"/>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0217F"/>
    <w:pPr>
      <w:ind w:left="720"/>
      <w:contextualSpacing/>
    </w:pPr>
  </w:style>
  <w:style w:type="paragraph" w:styleId="Textedebulles">
    <w:name w:val="Balloon Text"/>
    <w:basedOn w:val="Normal"/>
    <w:link w:val="TextedebullesCar"/>
    <w:uiPriority w:val="99"/>
    <w:semiHidden/>
    <w:unhideWhenUsed/>
    <w:rsid w:val="002B6EDC"/>
    <w:rPr>
      <w:rFonts w:ascii="Lucida Grande" w:hAnsi="Lucida Grande"/>
      <w:sz w:val="18"/>
      <w:szCs w:val="18"/>
    </w:rPr>
  </w:style>
  <w:style w:type="character" w:customStyle="1" w:styleId="TextedebullesCar">
    <w:name w:val="Texte de bulles Car"/>
    <w:basedOn w:val="Policepardfaut"/>
    <w:link w:val="Textedebulles"/>
    <w:uiPriority w:val="99"/>
    <w:semiHidden/>
    <w:rsid w:val="002B6EDC"/>
    <w:rPr>
      <w:rFonts w:ascii="Lucida Grande" w:hAnsi="Lucida Grande"/>
      <w:sz w:val="18"/>
      <w:szCs w:val="18"/>
      <w:lang w:val="en-US"/>
    </w:rPr>
  </w:style>
  <w:style w:type="character" w:styleId="Lienhypertexte">
    <w:name w:val="Hyperlink"/>
    <w:basedOn w:val="Policepardfaut"/>
    <w:uiPriority w:val="99"/>
    <w:unhideWhenUsed/>
    <w:rsid w:val="00EC37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933677">
      <w:bodyDiv w:val="1"/>
      <w:marLeft w:val="0"/>
      <w:marRight w:val="0"/>
      <w:marTop w:val="0"/>
      <w:marBottom w:val="0"/>
      <w:divBdr>
        <w:top w:val="none" w:sz="0" w:space="0" w:color="auto"/>
        <w:left w:val="none" w:sz="0" w:space="0" w:color="auto"/>
        <w:bottom w:val="none" w:sz="0" w:space="0" w:color="auto"/>
        <w:right w:val="none" w:sz="0" w:space="0" w:color="auto"/>
      </w:divBdr>
      <w:divsChild>
        <w:div w:id="739206308">
          <w:marLeft w:val="0"/>
          <w:marRight w:val="0"/>
          <w:marTop w:val="0"/>
          <w:marBottom w:val="0"/>
          <w:divBdr>
            <w:top w:val="none" w:sz="0" w:space="0" w:color="auto"/>
            <w:left w:val="none" w:sz="0" w:space="0" w:color="auto"/>
            <w:bottom w:val="none" w:sz="0" w:space="0" w:color="auto"/>
            <w:right w:val="none" w:sz="0" w:space="0" w:color="auto"/>
          </w:divBdr>
        </w:div>
        <w:div w:id="295069552">
          <w:marLeft w:val="0"/>
          <w:marRight w:val="0"/>
          <w:marTop w:val="0"/>
          <w:marBottom w:val="0"/>
          <w:divBdr>
            <w:top w:val="none" w:sz="0" w:space="0" w:color="auto"/>
            <w:left w:val="none" w:sz="0" w:space="0" w:color="auto"/>
            <w:bottom w:val="none" w:sz="0" w:space="0" w:color="auto"/>
            <w:right w:val="none" w:sz="0" w:space="0" w:color="auto"/>
          </w:divBdr>
        </w:div>
        <w:div w:id="1557081101">
          <w:marLeft w:val="0"/>
          <w:marRight w:val="0"/>
          <w:marTop w:val="0"/>
          <w:marBottom w:val="0"/>
          <w:divBdr>
            <w:top w:val="none" w:sz="0" w:space="0" w:color="auto"/>
            <w:left w:val="none" w:sz="0" w:space="0" w:color="auto"/>
            <w:bottom w:val="none" w:sz="0" w:space="0" w:color="auto"/>
            <w:right w:val="none" w:sz="0" w:space="0" w:color="auto"/>
          </w:divBdr>
        </w:div>
        <w:div w:id="1716344008">
          <w:marLeft w:val="0"/>
          <w:marRight w:val="0"/>
          <w:marTop w:val="0"/>
          <w:marBottom w:val="0"/>
          <w:divBdr>
            <w:top w:val="none" w:sz="0" w:space="0" w:color="auto"/>
            <w:left w:val="none" w:sz="0" w:space="0" w:color="auto"/>
            <w:bottom w:val="none" w:sz="0" w:space="0" w:color="auto"/>
            <w:right w:val="none" w:sz="0" w:space="0" w:color="auto"/>
          </w:divBdr>
          <w:divsChild>
            <w:div w:id="25856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36536">
      <w:bodyDiv w:val="1"/>
      <w:marLeft w:val="0"/>
      <w:marRight w:val="0"/>
      <w:marTop w:val="0"/>
      <w:marBottom w:val="0"/>
      <w:divBdr>
        <w:top w:val="none" w:sz="0" w:space="0" w:color="auto"/>
        <w:left w:val="none" w:sz="0" w:space="0" w:color="auto"/>
        <w:bottom w:val="none" w:sz="0" w:space="0" w:color="auto"/>
        <w:right w:val="none" w:sz="0" w:space="0" w:color="auto"/>
      </w:divBdr>
      <w:divsChild>
        <w:div w:id="1349256407">
          <w:marLeft w:val="0"/>
          <w:marRight w:val="0"/>
          <w:marTop w:val="0"/>
          <w:marBottom w:val="0"/>
          <w:divBdr>
            <w:top w:val="none" w:sz="0" w:space="0" w:color="auto"/>
            <w:left w:val="none" w:sz="0" w:space="0" w:color="auto"/>
            <w:bottom w:val="none" w:sz="0" w:space="0" w:color="auto"/>
            <w:right w:val="none" w:sz="0" w:space="0" w:color="auto"/>
          </w:divBdr>
        </w:div>
        <w:div w:id="962886633">
          <w:marLeft w:val="0"/>
          <w:marRight w:val="0"/>
          <w:marTop w:val="0"/>
          <w:marBottom w:val="0"/>
          <w:divBdr>
            <w:top w:val="none" w:sz="0" w:space="0" w:color="auto"/>
            <w:left w:val="none" w:sz="0" w:space="0" w:color="auto"/>
            <w:bottom w:val="none" w:sz="0" w:space="0" w:color="auto"/>
            <w:right w:val="none" w:sz="0" w:space="0" w:color="auto"/>
          </w:divBdr>
        </w:div>
        <w:div w:id="1210259432">
          <w:marLeft w:val="0"/>
          <w:marRight w:val="0"/>
          <w:marTop w:val="0"/>
          <w:marBottom w:val="0"/>
          <w:divBdr>
            <w:top w:val="none" w:sz="0" w:space="0" w:color="auto"/>
            <w:left w:val="none" w:sz="0" w:space="0" w:color="auto"/>
            <w:bottom w:val="none" w:sz="0" w:space="0" w:color="auto"/>
            <w:right w:val="none" w:sz="0" w:space="0" w:color="auto"/>
          </w:divBdr>
        </w:div>
        <w:div w:id="1391533766">
          <w:marLeft w:val="0"/>
          <w:marRight w:val="0"/>
          <w:marTop w:val="0"/>
          <w:marBottom w:val="0"/>
          <w:divBdr>
            <w:top w:val="none" w:sz="0" w:space="0" w:color="auto"/>
            <w:left w:val="none" w:sz="0" w:space="0" w:color="auto"/>
            <w:bottom w:val="none" w:sz="0" w:space="0" w:color="auto"/>
            <w:right w:val="none" w:sz="0" w:space="0" w:color="auto"/>
          </w:divBdr>
          <w:divsChild>
            <w:div w:id="79398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407817">
      <w:bodyDiv w:val="1"/>
      <w:marLeft w:val="0"/>
      <w:marRight w:val="0"/>
      <w:marTop w:val="0"/>
      <w:marBottom w:val="0"/>
      <w:divBdr>
        <w:top w:val="none" w:sz="0" w:space="0" w:color="auto"/>
        <w:left w:val="none" w:sz="0" w:space="0" w:color="auto"/>
        <w:bottom w:val="none" w:sz="0" w:space="0" w:color="auto"/>
        <w:right w:val="none" w:sz="0" w:space="0" w:color="auto"/>
      </w:divBdr>
      <w:divsChild>
        <w:div w:id="1680083527">
          <w:marLeft w:val="0"/>
          <w:marRight w:val="0"/>
          <w:marTop w:val="0"/>
          <w:marBottom w:val="0"/>
          <w:divBdr>
            <w:top w:val="none" w:sz="0" w:space="0" w:color="auto"/>
            <w:left w:val="none" w:sz="0" w:space="0" w:color="auto"/>
            <w:bottom w:val="none" w:sz="0" w:space="0" w:color="auto"/>
            <w:right w:val="none" w:sz="0" w:space="0" w:color="auto"/>
          </w:divBdr>
        </w:div>
        <w:div w:id="1599947975">
          <w:marLeft w:val="0"/>
          <w:marRight w:val="0"/>
          <w:marTop w:val="0"/>
          <w:marBottom w:val="0"/>
          <w:divBdr>
            <w:top w:val="none" w:sz="0" w:space="0" w:color="auto"/>
            <w:left w:val="none" w:sz="0" w:space="0" w:color="auto"/>
            <w:bottom w:val="none" w:sz="0" w:space="0" w:color="auto"/>
            <w:right w:val="none" w:sz="0" w:space="0" w:color="auto"/>
          </w:divBdr>
        </w:div>
        <w:div w:id="828522155">
          <w:marLeft w:val="0"/>
          <w:marRight w:val="0"/>
          <w:marTop w:val="0"/>
          <w:marBottom w:val="0"/>
          <w:divBdr>
            <w:top w:val="none" w:sz="0" w:space="0" w:color="auto"/>
            <w:left w:val="none" w:sz="0" w:space="0" w:color="auto"/>
            <w:bottom w:val="none" w:sz="0" w:space="0" w:color="auto"/>
            <w:right w:val="none" w:sz="0" w:space="0" w:color="auto"/>
          </w:divBdr>
        </w:div>
        <w:div w:id="225335534">
          <w:marLeft w:val="0"/>
          <w:marRight w:val="0"/>
          <w:marTop w:val="0"/>
          <w:marBottom w:val="0"/>
          <w:divBdr>
            <w:top w:val="none" w:sz="0" w:space="0" w:color="auto"/>
            <w:left w:val="none" w:sz="0" w:space="0" w:color="auto"/>
            <w:bottom w:val="none" w:sz="0" w:space="0" w:color="auto"/>
            <w:right w:val="none" w:sz="0" w:space="0" w:color="auto"/>
          </w:divBdr>
          <w:divsChild>
            <w:div w:id="96195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47295">
      <w:bodyDiv w:val="1"/>
      <w:marLeft w:val="0"/>
      <w:marRight w:val="0"/>
      <w:marTop w:val="0"/>
      <w:marBottom w:val="0"/>
      <w:divBdr>
        <w:top w:val="none" w:sz="0" w:space="0" w:color="auto"/>
        <w:left w:val="none" w:sz="0" w:space="0" w:color="auto"/>
        <w:bottom w:val="none" w:sz="0" w:space="0" w:color="auto"/>
        <w:right w:val="none" w:sz="0" w:space="0" w:color="auto"/>
      </w:divBdr>
      <w:divsChild>
        <w:div w:id="557977421">
          <w:marLeft w:val="0"/>
          <w:marRight w:val="0"/>
          <w:marTop w:val="0"/>
          <w:marBottom w:val="0"/>
          <w:divBdr>
            <w:top w:val="none" w:sz="0" w:space="0" w:color="auto"/>
            <w:left w:val="none" w:sz="0" w:space="0" w:color="auto"/>
            <w:bottom w:val="none" w:sz="0" w:space="0" w:color="auto"/>
            <w:right w:val="none" w:sz="0" w:space="0" w:color="auto"/>
          </w:divBdr>
        </w:div>
        <w:div w:id="247154948">
          <w:marLeft w:val="0"/>
          <w:marRight w:val="0"/>
          <w:marTop w:val="0"/>
          <w:marBottom w:val="0"/>
          <w:divBdr>
            <w:top w:val="none" w:sz="0" w:space="0" w:color="auto"/>
            <w:left w:val="none" w:sz="0" w:space="0" w:color="auto"/>
            <w:bottom w:val="none" w:sz="0" w:space="0" w:color="auto"/>
            <w:right w:val="none" w:sz="0" w:space="0" w:color="auto"/>
          </w:divBdr>
        </w:div>
        <w:div w:id="1009479095">
          <w:marLeft w:val="0"/>
          <w:marRight w:val="0"/>
          <w:marTop w:val="0"/>
          <w:marBottom w:val="0"/>
          <w:divBdr>
            <w:top w:val="none" w:sz="0" w:space="0" w:color="auto"/>
            <w:left w:val="none" w:sz="0" w:space="0" w:color="auto"/>
            <w:bottom w:val="none" w:sz="0" w:space="0" w:color="auto"/>
            <w:right w:val="none" w:sz="0" w:space="0" w:color="auto"/>
          </w:divBdr>
        </w:div>
        <w:div w:id="1466851340">
          <w:marLeft w:val="0"/>
          <w:marRight w:val="0"/>
          <w:marTop w:val="0"/>
          <w:marBottom w:val="0"/>
          <w:divBdr>
            <w:top w:val="none" w:sz="0" w:space="0" w:color="auto"/>
            <w:left w:val="none" w:sz="0" w:space="0" w:color="auto"/>
            <w:bottom w:val="none" w:sz="0" w:space="0" w:color="auto"/>
            <w:right w:val="none" w:sz="0" w:space="0" w:color="auto"/>
          </w:divBdr>
          <w:divsChild>
            <w:div w:id="8110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98817">
      <w:bodyDiv w:val="1"/>
      <w:marLeft w:val="0"/>
      <w:marRight w:val="0"/>
      <w:marTop w:val="0"/>
      <w:marBottom w:val="0"/>
      <w:divBdr>
        <w:top w:val="none" w:sz="0" w:space="0" w:color="auto"/>
        <w:left w:val="none" w:sz="0" w:space="0" w:color="auto"/>
        <w:bottom w:val="none" w:sz="0" w:space="0" w:color="auto"/>
        <w:right w:val="none" w:sz="0" w:space="0" w:color="auto"/>
      </w:divBdr>
      <w:divsChild>
        <w:div w:id="1981768088">
          <w:marLeft w:val="0"/>
          <w:marRight w:val="0"/>
          <w:marTop w:val="0"/>
          <w:marBottom w:val="0"/>
          <w:divBdr>
            <w:top w:val="none" w:sz="0" w:space="0" w:color="auto"/>
            <w:left w:val="none" w:sz="0" w:space="0" w:color="auto"/>
            <w:bottom w:val="none" w:sz="0" w:space="0" w:color="auto"/>
            <w:right w:val="none" w:sz="0" w:space="0" w:color="auto"/>
          </w:divBdr>
        </w:div>
        <w:div w:id="804933080">
          <w:marLeft w:val="0"/>
          <w:marRight w:val="0"/>
          <w:marTop w:val="0"/>
          <w:marBottom w:val="0"/>
          <w:divBdr>
            <w:top w:val="none" w:sz="0" w:space="0" w:color="auto"/>
            <w:left w:val="none" w:sz="0" w:space="0" w:color="auto"/>
            <w:bottom w:val="none" w:sz="0" w:space="0" w:color="auto"/>
            <w:right w:val="none" w:sz="0" w:space="0" w:color="auto"/>
          </w:divBdr>
        </w:div>
        <w:div w:id="1881016452">
          <w:marLeft w:val="0"/>
          <w:marRight w:val="0"/>
          <w:marTop w:val="0"/>
          <w:marBottom w:val="0"/>
          <w:divBdr>
            <w:top w:val="none" w:sz="0" w:space="0" w:color="auto"/>
            <w:left w:val="none" w:sz="0" w:space="0" w:color="auto"/>
            <w:bottom w:val="none" w:sz="0" w:space="0" w:color="auto"/>
            <w:right w:val="none" w:sz="0" w:space="0" w:color="auto"/>
          </w:divBdr>
        </w:div>
        <w:div w:id="959654798">
          <w:marLeft w:val="0"/>
          <w:marRight w:val="0"/>
          <w:marTop w:val="0"/>
          <w:marBottom w:val="0"/>
          <w:divBdr>
            <w:top w:val="none" w:sz="0" w:space="0" w:color="auto"/>
            <w:left w:val="none" w:sz="0" w:space="0" w:color="auto"/>
            <w:bottom w:val="none" w:sz="0" w:space="0" w:color="auto"/>
            <w:right w:val="none" w:sz="0" w:space="0" w:color="auto"/>
          </w:divBdr>
          <w:divsChild>
            <w:div w:id="79823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28924">
      <w:bodyDiv w:val="1"/>
      <w:marLeft w:val="0"/>
      <w:marRight w:val="0"/>
      <w:marTop w:val="0"/>
      <w:marBottom w:val="0"/>
      <w:divBdr>
        <w:top w:val="none" w:sz="0" w:space="0" w:color="auto"/>
        <w:left w:val="none" w:sz="0" w:space="0" w:color="auto"/>
        <w:bottom w:val="none" w:sz="0" w:space="0" w:color="auto"/>
        <w:right w:val="none" w:sz="0" w:space="0" w:color="auto"/>
      </w:divBdr>
      <w:divsChild>
        <w:div w:id="2067365405">
          <w:marLeft w:val="0"/>
          <w:marRight w:val="0"/>
          <w:marTop w:val="0"/>
          <w:marBottom w:val="0"/>
          <w:divBdr>
            <w:top w:val="none" w:sz="0" w:space="0" w:color="auto"/>
            <w:left w:val="none" w:sz="0" w:space="0" w:color="auto"/>
            <w:bottom w:val="none" w:sz="0" w:space="0" w:color="auto"/>
            <w:right w:val="none" w:sz="0" w:space="0" w:color="auto"/>
          </w:divBdr>
        </w:div>
        <w:div w:id="1555434814">
          <w:marLeft w:val="0"/>
          <w:marRight w:val="0"/>
          <w:marTop w:val="0"/>
          <w:marBottom w:val="0"/>
          <w:divBdr>
            <w:top w:val="none" w:sz="0" w:space="0" w:color="auto"/>
            <w:left w:val="none" w:sz="0" w:space="0" w:color="auto"/>
            <w:bottom w:val="none" w:sz="0" w:space="0" w:color="auto"/>
            <w:right w:val="none" w:sz="0" w:space="0" w:color="auto"/>
          </w:divBdr>
        </w:div>
        <w:div w:id="403845598">
          <w:marLeft w:val="0"/>
          <w:marRight w:val="0"/>
          <w:marTop w:val="0"/>
          <w:marBottom w:val="0"/>
          <w:divBdr>
            <w:top w:val="none" w:sz="0" w:space="0" w:color="auto"/>
            <w:left w:val="none" w:sz="0" w:space="0" w:color="auto"/>
            <w:bottom w:val="none" w:sz="0" w:space="0" w:color="auto"/>
            <w:right w:val="none" w:sz="0" w:space="0" w:color="auto"/>
          </w:divBdr>
        </w:div>
        <w:div w:id="2006322717">
          <w:marLeft w:val="0"/>
          <w:marRight w:val="0"/>
          <w:marTop w:val="0"/>
          <w:marBottom w:val="0"/>
          <w:divBdr>
            <w:top w:val="none" w:sz="0" w:space="0" w:color="auto"/>
            <w:left w:val="none" w:sz="0" w:space="0" w:color="auto"/>
            <w:bottom w:val="none" w:sz="0" w:space="0" w:color="auto"/>
            <w:right w:val="none" w:sz="0" w:space="0" w:color="auto"/>
          </w:divBdr>
          <w:divsChild>
            <w:div w:id="60707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nejm.org/doi/full/10.1056/NEJMoa1602489#t=abstract" TargetMode="External"/><Relationship Id="rId7" Type="http://schemas.openxmlformats.org/officeDocument/2006/relationships/hyperlink" Target="http://www.nejm.org/doi/full/10.1056/NEJMoa1605215" TargetMode="Externa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1673</Words>
  <Characters>9206</Characters>
  <Application>Microsoft Macintosh Word</Application>
  <DocSecurity>0</DocSecurity>
  <Lines>76</Lines>
  <Paragraphs>21</Paragraphs>
  <ScaleCrop>false</ScaleCrop>
  <Company/>
  <LinksUpToDate>false</LinksUpToDate>
  <CharactersWithSpaces>10858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1</cp:revision>
  <dcterms:created xsi:type="dcterms:W3CDTF">2016-10-02T16:18:00Z</dcterms:created>
  <dcterms:modified xsi:type="dcterms:W3CDTF">2016-10-02T17:39:00Z</dcterms:modified>
</cp:coreProperties>
</file>