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24D8" w:rsidRDefault="008024D8" w:rsidP="008024D8">
      <w:r>
        <w:t xml:space="preserve">N </w:t>
      </w:r>
      <w:proofErr w:type="spellStart"/>
      <w:r>
        <w:t>Engl</w:t>
      </w:r>
      <w:proofErr w:type="spellEnd"/>
      <w:r>
        <w:t xml:space="preserve"> J Med. 2016 Oct 24</w:t>
      </w:r>
    </w:p>
    <w:p w:rsidR="008024D8" w:rsidRPr="008024D8" w:rsidRDefault="008024D8" w:rsidP="008024D8">
      <w:pPr>
        <w:rPr>
          <w:b/>
        </w:rPr>
      </w:pPr>
      <w:r w:rsidRPr="008024D8">
        <w:rPr>
          <w:b/>
        </w:rPr>
        <w:t>Effect of Short-Term vs. Long-Term Blood Storage</w:t>
      </w:r>
      <w:r>
        <w:rPr>
          <w:b/>
        </w:rPr>
        <w:t xml:space="preserve"> on Mortality after Transfusion</w:t>
      </w:r>
    </w:p>
    <w:p w:rsidR="008024D8" w:rsidRDefault="008024D8" w:rsidP="008024D8"/>
    <w:p w:rsidR="008024D8" w:rsidRDefault="008024D8" w:rsidP="008024D8">
      <w:r w:rsidRPr="008024D8">
        <w:rPr>
          <w:b/>
        </w:rPr>
        <w:t>Background:</w:t>
      </w:r>
      <w:r>
        <w:t xml:space="preserve"> Randomized, controlled trials have suggested that the transfusion of blood after prolonged storage does not increase the risk of adverse outcomes among patients, although most of these trials were restricted to high-risk populations and were not powered to detect small but clinically important differences in mortality. We sought to find out whether the duration of blood storage would have an effect on mortality after transfusion in a general population of hospitalized patients. </w:t>
      </w:r>
    </w:p>
    <w:p w:rsidR="008024D8" w:rsidRDefault="008024D8" w:rsidP="008024D8"/>
    <w:p w:rsidR="008024D8" w:rsidRDefault="008024D8" w:rsidP="008024D8">
      <w:r w:rsidRPr="008024D8">
        <w:rPr>
          <w:b/>
        </w:rPr>
        <w:t>Methods:</w:t>
      </w:r>
      <w:r>
        <w:t xml:space="preserve"> In this pragmatic, randomized, controlled trial conducted at six hospitals in four countries, we randomly assigned patients who required a red-cell transfusion to receive blood that had been stored for the shortest duration (short-term storage group) or the longest duration (long-term storage group) in a 1:2 ratio. Only patients with type A or O blood were included in the primary analysis, since pilot data suggested that our goal of achieving a difference in the mean duration of blood storage of at least 10 days would not be possible with other blood types. Written informed consent was waived because all the patients received treatment consistent with the current standard of care. The primary outcome was in-hospital mortality, which was estimated by means of a logistic-regression model after adjustment for study center and patient blood type. </w:t>
      </w:r>
    </w:p>
    <w:p w:rsidR="008024D8" w:rsidRDefault="008024D8" w:rsidP="008024D8"/>
    <w:p w:rsidR="008024D8" w:rsidRDefault="008024D8" w:rsidP="008024D8">
      <w:r w:rsidRPr="008024D8">
        <w:rPr>
          <w:b/>
        </w:rPr>
        <w:t>Results</w:t>
      </w:r>
      <w:r>
        <w:t xml:space="preserve">: From April 2012 through October 2015, a total of 31,497 patients underwent randomization. Of these patients, 6761 </w:t>
      </w:r>
      <w:proofErr w:type="gramStart"/>
      <w:r>
        <w:t>who</w:t>
      </w:r>
      <w:proofErr w:type="gramEnd"/>
      <w:r>
        <w:t xml:space="preserve"> did not meet all the enrollment criteria were excluded after randomization. The primary analysis included 20,858 patients with type A or O blood. Of these patients, 6936 were assigned to the short-term storage group and 13,922 to the long-term storage group. The mean storage duration was 13.0 days in the short-term storage group and 23.6 days in the long-term storage group. There were 634 deaths (9.1%) in the short-term storage group and 1213 (8.7%) in the long-term storage group (odds ratio, 1.05; 95% confidence interval [CI], 0.95 to 1.16; P=0.34). When the analysis was expanded to include the 24,736 patients with any blood type, the results were similar, with rates of death of 9.1% and 8.8%, respectively (odds ratio, 1.04; 95% CI, 0.95 to 1.14; P=0.38). Additional results were consistent in three </w:t>
      </w:r>
      <w:proofErr w:type="spellStart"/>
      <w:r>
        <w:t>prespecified</w:t>
      </w:r>
      <w:proofErr w:type="spellEnd"/>
      <w:r>
        <w:t xml:space="preserve"> high-risk subgroups (patients undergoing cardiovascular surgery, those admitted to intensive care, and those with cancer). </w:t>
      </w:r>
    </w:p>
    <w:p w:rsidR="008024D8" w:rsidRDefault="008024D8" w:rsidP="008024D8"/>
    <w:p w:rsidR="009C411F" w:rsidRDefault="008024D8" w:rsidP="008024D8">
      <w:r w:rsidRPr="008024D8">
        <w:rPr>
          <w:b/>
        </w:rPr>
        <w:t>Conclusions:</w:t>
      </w:r>
      <w:r>
        <w:t xml:space="preserve"> Among patients in a general hospital population, there was no significant difference in the rate of death among those who underwent transfusion with the freshest available blood and those who underwent transfusion according to the standard practice of transfusing the oldest available blood. </w:t>
      </w:r>
    </w:p>
    <w:p w:rsidR="008024D8" w:rsidRDefault="008024D8" w:rsidP="008024D8"/>
    <w:p w:rsidR="008024D8" w:rsidRDefault="008024D8" w:rsidP="008024D8">
      <w:pPr>
        <w:pStyle w:val="Paragraphedeliste"/>
        <w:numPr>
          <w:ilvl w:val="0"/>
          <w:numId w:val="1"/>
        </w:numPr>
      </w:pPr>
      <w:r>
        <w:t xml:space="preserve">Any patients that needed RBCs transfusion (some patients with </w:t>
      </w:r>
      <w:proofErr w:type="spellStart"/>
      <w:r>
        <w:t>alloimmunity</w:t>
      </w:r>
      <w:proofErr w:type="spellEnd"/>
      <w:r>
        <w:t xml:space="preserve"> to red cell antigens were excluded due to difficulty to find compatible blood)</w:t>
      </w:r>
    </w:p>
    <w:p w:rsidR="008024D8" w:rsidRDefault="008024D8" w:rsidP="008024D8">
      <w:pPr>
        <w:pStyle w:val="Paragraphedeliste"/>
        <w:numPr>
          <w:ilvl w:val="0"/>
          <w:numId w:val="1"/>
        </w:numPr>
      </w:pPr>
      <w:r>
        <w:t>Randomized to either receive the freshest unit or the older unit</w:t>
      </w:r>
    </w:p>
    <w:p w:rsidR="008024D8" w:rsidRDefault="008024D8" w:rsidP="008024D8">
      <w:pPr>
        <w:pStyle w:val="Paragraphedeliste"/>
        <w:numPr>
          <w:ilvl w:val="0"/>
          <w:numId w:val="1"/>
        </w:numPr>
      </w:pPr>
      <w:r>
        <w:t>Primary outcome – in hospital death; 2</w:t>
      </w:r>
      <w:r w:rsidRPr="008024D8">
        <w:rPr>
          <w:vertAlign w:val="superscript"/>
        </w:rPr>
        <w:t>nd</w:t>
      </w:r>
      <w:r>
        <w:t xml:space="preserve"> outcome – time from hospital admission to in hospital death</w:t>
      </w:r>
    </w:p>
    <w:p w:rsidR="008024D8" w:rsidRDefault="008024D8" w:rsidP="008024D8">
      <w:pPr>
        <w:pStyle w:val="Paragraphedeliste"/>
        <w:numPr>
          <w:ilvl w:val="0"/>
          <w:numId w:val="1"/>
        </w:numPr>
      </w:pPr>
      <w:r>
        <w:lastRenderedPageBreak/>
        <w:t>NSD in rate of death</w:t>
      </w:r>
    </w:p>
    <w:p w:rsidR="008024D8" w:rsidRDefault="008024D8" w:rsidP="008024D8">
      <w:pPr>
        <w:pStyle w:val="Paragraphedeliste"/>
        <w:numPr>
          <w:ilvl w:val="0"/>
          <w:numId w:val="1"/>
        </w:numPr>
      </w:pPr>
      <w:r>
        <w:t>No benefit of fresher blood</w:t>
      </w:r>
    </w:p>
    <w:p w:rsidR="008024D8" w:rsidRDefault="008024D8" w:rsidP="008024D8">
      <w:pPr>
        <w:pStyle w:val="Paragraphedeliste"/>
        <w:numPr>
          <w:ilvl w:val="0"/>
          <w:numId w:val="1"/>
        </w:numPr>
      </w:pPr>
      <w:r>
        <w:t>Mean storage duration</w:t>
      </w:r>
    </w:p>
    <w:p w:rsidR="008024D8" w:rsidRDefault="008024D8" w:rsidP="008024D8">
      <w:pPr>
        <w:pStyle w:val="Paragraphedeliste"/>
        <w:numPr>
          <w:ilvl w:val="1"/>
          <w:numId w:val="1"/>
        </w:numPr>
      </w:pPr>
      <w:r>
        <w:t>Young units: 13 d</w:t>
      </w:r>
    </w:p>
    <w:p w:rsidR="008024D8" w:rsidRDefault="008024D8" w:rsidP="008024D8">
      <w:pPr>
        <w:pStyle w:val="Paragraphedeliste"/>
        <w:numPr>
          <w:ilvl w:val="1"/>
          <w:numId w:val="1"/>
        </w:numPr>
      </w:pPr>
      <w:r>
        <w:t>Old units: 23.6 d</w:t>
      </w:r>
      <w:bookmarkStart w:id="0" w:name="_GoBack"/>
      <w:bookmarkEnd w:id="0"/>
    </w:p>
    <w:p w:rsidR="008024D8" w:rsidRDefault="008024D8" w:rsidP="008024D8"/>
    <w:sectPr w:rsidR="008024D8" w:rsidSect="00437961">
      <w:pgSz w:w="12240" w:h="15840"/>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FA4BAC"/>
    <w:multiLevelType w:val="hybridMultilevel"/>
    <w:tmpl w:val="824C31A0"/>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proofState w:spelling="clean" w:grammar="clean"/>
  <w:defaultTabStop w:val="708"/>
  <w:hyphenationZone w:val="425"/>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24D8"/>
    <w:rsid w:val="002C4D29"/>
    <w:rsid w:val="00437961"/>
    <w:rsid w:val="008024D8"/>
    <w:rsid w:val="009C411F"/>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A6F874A"/>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8024D8"/>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8024D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0026984">
      <w:bodyDiv w:val="1"/>
      <w:marLeft w:val="0"/>
      <w:marRight w:val="0"/>
      <w:marTop w:val="0"/>
      <w:marBottom w:val="0"/>
      <w:divBdr>
        <w:top w:val="none" w:sz="0" w:space="0" w:color="auto"/>
        <w:left w:val="none" w:sz="0" w:space="0" w:color="auto"/>
        <w:bottom w:val="none" w:sz="0" w:space="0" w:color="auto"/>
        <w:right w:val="none" w:sz="0" w:space="0" w:color="auto"/>
      </w:divBdr>
      <w:divsChild>
        <w:div w:id="715935924">
          <w:marLeft w:val="0"/>
          <w:marRight w:val="0"/>
          <w:marTop w:val="0"/>
          <w:marBottom w:val="0"/>
          <w:divBdr>
            <w:top w:val="none" w:sz="0" w:space="0" w:color="auto"/>
            <w:left w:val="none" w:sz="0" w:space="0" w:color="auto"/>
            <w:bottom w:val="none" w:sz="0" w:space="0" w:color="auto"/>
            <w:right w:val="none" w:sz="0" w:space="0" w:color="auto"/>
          </w:divBdr>
        </w:div>
        <w:div w:id="539394029">
          <w:marLeft w:val="0"/>
          <w:marRight w:val="0"/>
          <w:marTop w:val="0"/>
          <w:marBottom w:val="0"/>
          <w:divBdr>
            <w:top w:val="none" w:sz="0" w:space="0" w:color="auto"/>
            <w:left w:val="none" w:sz="0" w:space="0" w:color="auto"/>
            <w:bottom w:val="none" w:sz="0" w:space="0" w:color="auto"/>
            <w:right w:val="none" w:sz="0" w:space="0" w:color="auto"/>
          </w:divBdr>
        </w:div>
        <w:div w:id="1189372543">
          <w:marLeft w:val="0"/>
          <w:marRight w:val="0"/>
          <w:marTop w:val="0"/>
          <w:marBottom w:val="0"/>
          <w:divBdr>
            <w:top w:val="none" w:sz="0" w:space="0" w:color="auto"/>
            <w:left w:val="none" w:sz="0" w:space="0" w:color="auto"/>
            <w:bottom w:val="none" w:sz="0" w:space="0" w:color="auto"/>
            <w:right w:val="none" w:sz="0" w:space="0" w:color="auto"/>
          </w:divBdr>
        </w:div>
        <w:div w:id="1782603990">
          <w:marLeft w:val="0"/>
          <w:marRight w:val="0"/>
          <w:marTop w:val="0"/>
          <w:marBottom w:val="0"/>
          <w:divBdr>
            <w:top w:val="none" w:sz="0" w:space="0" w:color="auto"/>
            <w:left w:val="none" w:sz="0" w:space="0" w:color="auto"/>
            <w:bottom w:val="none" w:sz="0" w:space="0" w:color="auto"/>
            <w:right w:val="none" w:sz="0" w:space="0" w:color="auto"/>
          </w:divBdr>
          <w:divsChild>
            <w:div w:id="1288773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2</Pages>
  <Words>504</Words>
  <Characters>2777</Characters>
  <Application>Microsoft Macintosh Word</Application>
  <DocSecurity>0</DocSecurity>
  <Lines>23</Lines>
  <Paragraphs>6</Paragraphs>
  <ScaleCrop>false</ScaleCrop>
  <Company/>
  <LinksUpToDate>false</LinksUpToDate>
  <CharactersWithSpaces>3275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Jo-Annie Letendre</dc:creator>
  <cp:keywords/>
  <dc:description/>
  <cp:lastModifiedBy>Jo-Annie Letendre</cp:lastModifiedBy>
  <cp:revision>1</cp:revision>
  <dcterms:created xsi:type="dcterms:W3CDTF">2016-12-05T09:40:00Z</dcterms:created>
  <dcterms:modified xsi:type="dcterms:W3CDTF">2016-12-05T09:51:00Z</dcterms:modified>
</cp:coreProperties>
</file>