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B5C5E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Dec 3</w:t>
      </w:r>
      <w:proofErr w:type="gramStart"/>
      <w:r w:rsidRPr="00942800">
        <w:rPr>
          <w:sz w:val="22"/>
          <w:szCs w:val="22"/>
        </w:rPr>
        <w:t>;373</w:t>
      </w:r>
      <w:proofErr w:type="gramEnd"/>
      <w:r w:rsidRPr="00942800">
        <w:rPr>
          <w:sz w:val="22"/>
          <w:szCs w:val="22"/>
        </w:rPr>
        <w:t xml:space="preserve">(23):2203-14. </w:t>
      </w:r>
    </w:p>
    <w:p w14:paraId="5F235877" w14:textId="77777777" w:rsidR="001008C6" w:rsidRPr="00942800" w:rsidRDefault="001008C6" w:rsidP="00942800">
      <w:pPr>
        <w:ind w:firstLine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Trial of Continuous or Interrupted Chest Compressions during CPR.</w:t>
      </w:r>
      <w:proofErr w:type="gramEnd"/>
    </w:p>
    <w:p w14:paraId="6A05B0A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77571EA7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During cardiopulmonary resuscitation (CPR) in patients with</w:t>
      </w:r>
    </w:p>
    <w:p w14:paraId="643FF60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out</w:t>
      </w:r>
      <w:proofErr w:type="gramEnd"/>
      <w:r w:rsidRPr="00942800">
        <w:rPr>
          <w:sz w:val="22"/>
          <w:szCs w:val="22"/>
        </w:rPr>
        <w:t>-of-hospital cardiac arrest, the interruption of manual chest compressions for</w:t>
      </w:r>
    </w:p>
    <w:p w14:paraId="04CDA8F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rescue</w:t>
      </w:r>
      <w:proofErr w:type="gramEnd"/>
      <w:r w:rsidRPr="00942800">
        <w:rPr>
          <w:sz w:val="22"/>
          <w:szCs w:val="22"/>
        </w:rPr>
        <w:t xml:space="preserve"> breathing reduces blood flow and possibly survival. We assessed whether</w:t>
      </w:r>
    </w:p>
    <w:p w14:paraId="60D8817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outcomes</w:t>
      </w:r>
      <w:proofErr w:type="gramEnd"/>
      <w:r w:rsidRPr="00942800">
        <w:rPr>
          <w:sz w:val="22"/>
          <w:szCs w:val="22"/>
        </w:rPr>
        <w:t xml:space="preserve"> after continuous compressions with positive-pressure ventilation</w:t>
      </w:r>
    </w:p>
    <w:p w14:paraId="6CECB69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differed</w:t>
      </w:r>
      <w:proofErr w:type="gramEnd"/>
      <w:r w:rsidRPr="00942800">
        <w:rPr>
          <w:sz w:val="22"/>
          <w:szCs w:val="22"/>
        </w:rPr>
        <w:t xml:space="preserve"> from those after compressions that were interrupted for ventilations at </w:t>
      </w:r>
    </w:p>
    <w:p w14:paraId="50255CF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</w:t>
      </w:r>
      <w:proofErr w:type="gramEnd"/>
      <w:r w:rsidRPr="00942800">
        <w:rPr>
          <w:sz w:val="22"/>
          <w:szCs w:val="22"/>
        </w:rPr>
        <w:t xml:space="preserve"> ratio of 30 compressions to two ventilations.</w:t>
      </w:r>
    </w:p>
    <w:p w14:paraId="446CBD8F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b/>
          <w:sz w:val="22"/>
          <w:szCs w:val="22"/>
        </w:rPr>
        <w:t>:</w:t>
      </w:r>
      <w:r w:rsidR="001008C6" w:rsidRPr="00942800">
        <w:rPr>
          <w:sz w:val="22"/>
          <w:szCs w:val="22"/>
        </w:rPr>
        <w:t xml:space="preserve"> This cluster-randomized trial with crossover included 114 </w:t>
      </w:r>
      <w:proofErr w:type="gramStart"/>
      <w:r w:rsidR="001008C6" w:rsidRPr="00942800">
        <w:rPr>
          <w:sz w:val="22"/>
          <w:szCs w:val="22"/>
        </w:rPr>
        <w:t>emergency</w:t>
      </w:r>
      <w:proofErr w:type="gramEnd"/>
    </w:p>
    <w:p w14:paraId="1AB0EF8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medical</w:t>
      </w:r>
      <w:proofErr w:type="gramEnd"/>
      <w:r w:rsidRPr="00942800">
        <w:rPr>
          <w:sz w:val="22"/>
          <w:szCs w:val="22"/>
        </w:rPr>
        <w:t xml:space="preserve"> service (EMS) agencies. Adults with non-trauma-related cardiac arrest who</w:t>
      </w:r>
    </w:p>
    <w:p w14:paraId="10E1694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were</w:t>
      </w:r>
      <w:proofErr w:type="gramEnd"/>
      <w:r w:rsidRPr="00942800">
        <w:rPr>
          <w:sz w:val="22"/>
          <w:szCs w:val="22"/>
        </w:rPr>
        <w:t xml:space="preserve"> treated by EMS providers received continuous chest compressions</w:t>
      </w:r>
    </w:p>
    <w:p w14:paraId="328FB55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</w:t>
      </w:r>
      <w:proofErr w:type="gramStart"/>
      <w:r w:rsidRPr="00942800">
        <w:rPr>
          <w:sz w:val="22"/>
          <w:szCs w:val="22"/>
        </w:rPr>
        <w:t>intervention</w:t>
      </w:r>
      <w:proofErr w:type="gramEnd"/>
      <w:r w:rsidRPr="00942800">
        <w:rPr>
          <w:sz w:val="22"/>
          <w:szCs w:val="22"/>
        </w:rPr>
        <w:t xml:space="preserve"> group) or interrupted chest compressions (control group). The</w:t>
      </w:r>
    </w:p>
    <w:p w14:paraId="4E2C6C1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primary</w:t>
      </w:r>
      <w:proofErr w:type="gramEnd"/>
      <w:r w:rsidRPr="00942800">
        <w:rPr>
          <w:sz w:val="22"/>
          <w:szCs w:val="22"/>
        </w:rPr>
        <w:t xml:space="preserve"> outcome was the rate of survival to hospital discharge. Secondary</w:t>
      </w:r>
    </w:p>
    <w:p w14:paraId="193BDC5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outcomes</w:t>
      </w:r>
      <w:proofErr w:type="gramEnd"/>
      <w:r w:rsidRPr="00942800">
        <w:rPr>
          <w:sz w:val="22"/>
          <w:szCs w:val="22"/>
        </w:rPr>
        <w:t xml:space="preserve"> included the modified Rankin scale score (on a scale from 0 to 6, with a</w:t>
      </w:r>
    </w:p>
    <w:p w14:paraId="2880C69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score</w:t>
      </w:r>
      <w:proofErr w:type="gramEnd"/>
      <w:r w:rsidRPr="00942800">
        <w:rPr>
          <w:sz w:val="22"/>
          <w:szCs w:val="22"/>
        </w:rPr>
        <w:t xml:space="preserve"> of ≤3 indicating favorable neurologic function). CPR process was measured</w:t>
      </w:r>
    </w:p>
    <w:p w14:paraId="6F4FE95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to</w:t>
      </w:r>
      <w:proofErr w:type="gramEnd"/>
      <w:r w:rsidRPr="00942800">
        <w:rPr>
          <w:sz w:val="22"/>
          <w:szCs w:val="22"/>
        </w:rPr>
        <w:t xml:space="preserve"> assess compliance.</w:t>
      </w:r>
    </w:p>
    <w:p w14:paraId="67B7C84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Of 23,711 patients included in the primary analysis, 12,653 were</w:t>
      </w:r>
    </w:p>
    <w:p w14:paraId="108B60F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assigned</w:t>
      </w:r>
      <w:proofErr w:type="gramEnd"/>
      <w:r w:rsidRPr="00942800">
        <w:rPr>
          <w:sz w:val="22"/>
          <w:szCs w:val="22"/>
        </w:rPr>
        <w:t xml:space="preserve"> to the intervention group and 11,058 to the control group. A total of</w:t>
      </w:r>
    </w:p>
    <w:p w14:paraId="4E14231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1129 of 12,613 patients with available data (9.0%) in the intervention group and </w:t>
      </w:r>
    </w:p>
    <w:p w14:paraId="75934C7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1072 of 11,035 with available data (9.7%) in the control group survived until</w:t>
      </w:r>
    </w:p>
    <w:p w14:paraId="2EE9A85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discharge</w:t>
      </w:r>
      <w:proofErr w:type="gramEnd"/>
      <w:r w:rsidRPr="00942800">
        <w:rPr>
          <w:sz w:val="22"/>
          <w:szCs w:val="22"/>
        </w:rPr>
        <w:t xml:space="preserve"> (difference, -0.7 percentage points; 95% confidence interval [CI], -1.5</w:t>
      </w:r>
    </w:p>
    <w:p w14:paraId="54EC823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to</w:t>
      </w:r>
      <w:proofErr w:type="gramEnd"/>
      <w:r w:rsidRPr="00942800">
        <w:rPr>
          <w:sz w:val="22"/>
          <w:szCs w:val="22"/>
        </w:rPr>
        <w:t xml:space="preserve"> 0.1; P=0.07); 7.0% of the patients in the intervention group and 7.7% of those</w:t>
      </w:r>
    </w:p>
    <w:p w14:paraId="104BC1E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</w:t>
      </w:r>
      <w:proofErr w:type="gramEnd"/>
      <w:r w:rsidRPr="00942800">
        <w:rPr>
          <w:sz w:val="22"/>
          <w:szCs w:val="22"/>
        </w:rPr>
        <w:t xml:space="preserve"> the control group survived with favorable neurologic function at discharge</w:t>
      </w:r>
    </w:p>
    <w:p w14:paraId="4559CF6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</w:t>
      </w:r>
      <w:proofErr w:type="gramStart"/>
      <w:r w:rsidRPr="00942800">
        <w:rPr>
          <w:sz w:val="22"/>
          <w:szCs w:val="22"/>
        </w:rPr>
        <w:t>difference</w:t>
      </w:r>
      <w:proofErr w:type="gramEnd"/>
      <w:r w:rsidRPr="00942800">
        <w:rPr>
          <w:sz w:val="22"/>
          <w:szCs w:val="22"/>
        </w:rPr>
        <w:t xml:space="preserve">, -0.6 percentage points; 95% CI, -1.4 to 0.1, P=0.09). Hospital-free </w:t>
      </w:r>
    </w:p>
    <w:p w14:paraId="21763CC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survival</w:t>
      </w:r>
      <w:proofErr w:type="gramEnd"/>
      <w:r w:rsidRPr="00942800">
        <w:rPr>
          <w:sz w:val="22"/>
          <w:szCs w:val="22"/>
        </w:rPr>
        <w:t xml:space="preserve"> was significantly shorter in the intervention group than in the control </w:t>
      </w:r>
    </w:p>
    <w:p w14:paraId="50070F3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</w:t>
      </w:r>
      <w:proofErr w:type="gramEnd"/>
      <w:r w:rsidRPr="00942800">
        <w:rPr>
          <w:sz w:val="22"/>
          <w:szCs w:val="22"/>
        </w:rPr>
        <w:t xml:space="preserve"> (mean difference, -0.2 days; 95% CI, -0.3 to -0.1; P=0.004).</w:t>
      </w:r>
    </w:p>
    <w:p w14:paraId="39DE7D4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In patients with out-of-hospital cardiac arrest, continuous chest</w:t>
      </w:r>
    </w:p>
    <w:p w14:paraId="2779DD2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compressions</w:t>
      </w:r>
      <w:proofErr w:type="gramEnd"/>
      <w:r w:rsidRPr="00942800">
        <w:rPr>
          <w:sz w:val="22"/>
          <w:szCs w:val="22"/>
        </w:rPr>
        <w:t xml:space="preserve"> during CPR performed by EMS providers did not result in</w:t>
      </w:r>
    </w:p>
    <w:p w14:paraId="0925BD0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significantly</w:t>
      </w:r>
      <w:proofErr w:type="gramEnd"/>
      <w:r w:rsidRPr="00942800">
        <w:rPr>
          <w:sz w:val="22"/>
          <w:szCs w:val="22"/>
        </w:rPr>
        <w:t xml:space="preserve"> higher rates of survival or favorable neurologic function than did </w:t>
      </w:r>
    </w:p>
    <w:p w14:paraId="07D2185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interrupted</w:t>
      </w:r>
      <w:proofErr w:type="gramEnd"/>
      <w:r w:rsidRPr="00942800">
        <w:rPr>
          <w:sz w:val="22"/>
          <w:szCs w:val="22"/>
        </w:rPr>
        <w:t xml:space="preserve"> chest compressions. </w:t>
      </w:r>
    </w:p>
    <w:p w14:paraId="21FD07D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03239AF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07FC4B2D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Dec 31</w:t>
      </w:r>
      <w:proofErr w:type="gramStart"/>
      <w:r w:rsidRPr="00942800">
        <w:rPr>
          <w:sz w:val="22"/>
          <w:szCs w:val="22"/>
        </w:rPr>
        <w:t>;373</w:t>
      </w:r>
      <w:proofErr w:type="gramEnd"/>
      <w:r w:rsidRPr="00942800">
        <w:rPr>
          <w:sz w:val="22"/>
          <w:szCs w:val="22"/>
        </w:rPr>
        <w:t xml:space="preserve">(27):2629-41. </w:t>
      </w:r>
    </w:p>
    <w:p w14:paraId="74DCAA3B" w14:textId="77777777" w:rsidR="001008C6" w:rsidRPr="00942800" w:rsidRDefault="001008C6" w:rsidP="00942800">
      <w:pPr>
        <w:ind w:firstLine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A Trial of Wound Irrigation in the Initial Management of Open Fracture Wounds.</w:t>
      </w:r>
      <w:proofErr w:type="gramEnd"/>
    </w:p>
    <w:p w14:paraId="507B82B3" w14:textId="77777777" w:rsidR="001008C6" w:rsidRPr="00942800" w:rsidRDefault="00523187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(FLOW)</w:t>
      </w:r>
    </w:p>
    <w:p w14:paraId="2D51DF8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38F8F0FF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The management of open fractures requires wound irrigation and</w:t>
      </w:r>
    </w:p>
    <w:p w14:paraId="41422DE5" w14:textId="77777777" w:rsidR="001008C6" w:rsidRPr="00942800" w:rsidRDefault="00523187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de</w:t>
      </w:r>
      <w:r w:rsidR="001008C6" w:rsidRPr="00942800">
        <w:rPr>
          <w:sz w:val="22"/>
          <w:szCs w:val="22"/>
        </w:rPr>
        <w:t>bridement</w:t>
      </w:r>
      <w:proofErr w:type="gramEnd"/>
      <w:r w:rsidR="001008C6" w:rsidRPr="00942800">
        <w:rPr>
          <w:sz w:val="22"/>
          <w:szCs w:val="22"/>
        </w:rPr>
        <w:t xml:space="preserve"> to remove contaminants, but the effectiveness of various pressures</w:t>
      </w:r>
    </w:p>
    <w:p w14:paraId="22E77A1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and</w:t>
      </w:r>
      <w:proofErr w:type="gramEnd"/>
      <w:r w:rsidRPr="00942800">
        <w:rPr>
          <w:sz w:val="22"/>
          <w:szCs w:val="22"/>
        </w:rPr>
        <w:t xml:space="preserve"> solutions for irrigation remains controversial. We investigated the effects</w:t>
      </w:r>
    </w:p>
    <w:p w14:paraId="2542A9C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of</w:t>
      </w:r>
      <w:proofErr w:type="gramEnd"/>
      <w:r w:rsidRPr="00942800">
        <w:rPr>
          <w:sz w:val="22"/>
          <w:szCs w:val="22"/>
        </w:rPr>
        <w:t xml:space="preserve"> castile soap versus normal saline irrigation delivered by means of high, low, </w:t>
      </w:r>
    </w:p>
    <w:p w14:paraId="09781BB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or</w:t>
      </w:r>
      <w:proofErr w:type="gramEnd"/>
      <w:r w:rsidRPr="00942800">
        <w:rPr>
          <w:sz w:val="22"/>
          <w:szCs w:val="22"/>
        </w:rPr>
        <w:t xml:space="preserve"> very low irrigation pressure.</w:t>
      </w:r>
    </w:p>
    <w:p w14:paraId="5FCB64C9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In this study with a 2-by-3 factorial design, conducted at 41 clinical</w:t>
      </w:r>
    </w:p>
    <w:p w14:paraId="18E66D2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centers</w:t>
      </w:r>
      <w:proofErr w:type="gramEnd"/>
      <w:r w:rsidRPr="00942800">
        <w:rPr>
          <w:sz w:val="22"/>
          <w:szCs w:val="22"/>
        </w:rPr>
        <w:t>, we randomly assigned patients who had an open fracture of an extremity</w:t>
      </w:r>
    </w:p>
    <w:p w14:paraId="5AF64DD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to</w:t>
      </w:r>
      <w:proofErr w:type="gramEnd"/>
      <w:r w:rsidRPr="00942800">
        <w:rPr>
          <w:sz w:val="22"/>
          <w:szCs w:val="22"/>
        </w:rPr>
        <w:t xml:space="preserve"> undergo irrigation with one of three irrigation pressures (high pressure [&gt;20 </w:t>
      </w:r>
    </w:p>
    <w:p w14:paraId="3615987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psi</w:t>
      </w:r>
      <w:proofErr w:type="gramEnd"/>
      <w:r w:rsidRPr="00942800">
        <w:rPr>
          <w:sz w:val="22"/>
          <w:szCs w:val="22"/>
        </w:rPr>
        <w:t>], low pressure [5 to 10 psi], or very low pressure [1 to 2 psi]) and one of</w:t>
      </w:r>
    </w:p>
    <w:p w14:paraId="7587A34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two</w:t>
      </w:r>
      <w:proofErr w:type="gramEnd"/>
      <w:r w:rsidRPr="00942800">
        <w:rPr>
          <w:sz w:val="22"/>
          <w:szCs w:val="22"/>
        </w:rPr>
        <w:t xml:space="preserve"> irrigation solutions (castile soap or normal saline). The primary end point</w:t>
      </w:r>
    </w:p>
    <w:p w14:paraId="6F902A5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was</w:t>
      </w:r>
      <w:proofErr w:type="gramEnd"/>
      <w:r w:rsidRPr="00942800">
        <w:rPr>
          <w:sz w:val="22"/>
          <w:szCs w:val="22"/>
        </w:rPr>
        <w:t xml:space="preserve"> reoperation within 12 months after the index surgery for promotion of wound</w:t>
      </w:r>
    </w:p>
    <w:p w14:paraId="08B5518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or</w:t>
      </w:r>
      <w:proofErr w:type="gramEnd"/>
      <w:r w:rsidRPr="00942800">
        <w:rPr>
          <w:sz w:val="22"/>
          <w:szCs w:val="22"/>
        </w:rPr>
        <w:t xml:space="preserve"> bone healing or treatment of a wound infection.</w:t>
      </w:r>
    </w:p>
    <w:p w14:paraId="2F048C1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 xml:space="preserve">: A total of 2551 patients underwent randomization, of </w:t>
      </w:r>
      <w:proofErr w:type="gramStart"/>
      <w:r w:rsidRPr="00942800">
        <w:rPr>
          <w:sz w:val="22"/>
          <w:szCs w:val="22"/>
        </w:rPr>
        <w:t>whom</w:t>
      </w:r>
      <w:proofErr w:type="gramEnd"/>
      <w:r w:rsidRPr="00942800">
        <w:rPr>
          <w:sz w:val="22"/>
          <w:szCs w:val="22"/>
        </w:rPr>
        <w:t xml:space="preserve"> 2447 were</w:t>
      </w:r>
    </w:p>
    <w:p w14:paraId="5C8034F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lastRenderedPageBreak/>
        <w:t>deemed</w:t>
      </w:r>
      <w:proofErr w:type="gramEnd"/>
      <w:r w:rsidRPr="00942800">
        <w:rPr>
          <w:sz w:val="22"/>
          <w:szCs w:val="22"/>
        </w:rPr>
        <w:t xml:space="preserve"> eligible and included in the final analyses. Reoperation occurred in 109</w:t>
      </w:r>
    </w:p>
    <w:p w14:paraId="3D7CA7F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of</w:t>
      </w:r>
      <w:proofErr w:type="gramEnd"/>
      <w:r w:rsidRPr="00942800">
        <w:rPr>
          <w:sz w:val="22"/>
          <w:szCs w:val="22"/>
        </w:rPr>
        <w:t xml:space="preserve"> 826 patients (13.2%) in the high-pressure group, 103 of 809 (12.7%) in the</w:t>
      </w:r>
    </w:p>
    <w:p w14:paraId="7243BBF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low</w:t>
      </w:r>
      <w:proofErr w:type="gramEnd"/>
      <w:r w:rsidRPr="00942800">
        <w:rPr>
          <w:sz w:val="22"/>
          <w:szCs w:val="22"/>
        </w:rPr>
        <w:t>-pressure group, and 111 of 812 (13.7%) in the very-low-pressure group. Hazard</w:t>
      </w:r>
    </w:p>
    <w:p w14:paraId="2B8DDBE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ratios</w:t>
      </w:r>
      <w:proofErr w:type="gramEnd"/>
      <w:r w:rsidRPr="00942800">
        <w:rPr>
          <w:sz w:val="22"/>
          <w:szCs w:val="22"/>
        </w:rPr>
        <w:t xml:space="preserve"> for the three pairwise comparisons were as follows: for low versus high</w:t>
      </w:r>
    </w:p>
    <w:p w14:paraId="7C39EE2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pressure</w:t>
      </w:r>
      <w:proofErr w:type="gramEnd"/>
      <w:r w:rsidRPr="00942800">
        <w:rPr>
          <w:sz w:val="22"/>
          <w:szCs w:val="22"/>
        </w:rPr>
        <w:t>, 0.92 (95% confidence interval [CI], 0.70 to 1.20; P=0.53), for high</w:t>
      </w:r>
    </w:p>
    <w:p w14:paraId="55733C9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versus</w:t>
      </w:r>
      <w:proofErr w:type="gramEnd"/>
      <w:r w:rsidRPr="00942800">
        <w:rPr>
          <w:sz w:val="22"/>
          <w:szCs w:val="22"/>
        </w:rPr>
        <w:t xml:space="preserve"> very low pressure, 1.02 (95% CI, 0.78 to 1.33; P=0.89), and for low versus</w:t>
      </w:r>
    </w:p>
    <w:p w14:paraId="40E7693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very</w:t>
      </w:r>
      <w:proofErr w:type="gramEnd"/>
      <w:r w:rsidRPr="00942800">
        <w:rPr>
          <w:sz w:val="22"/>
          <w:szCs w:val="22"/>
        </w:rPr>
        <w:t xml:space="preserve"> low pressure, 0.93 (95% CI, 0.71 to 1.23; P=0.62). Reoperation occurred in</w:t>
      </w:r>
    </w:p>
    <w:p w14:paraId="08BBEAA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182 of 1229 patients (14.8%) in the soap group and in 141 of 1218 (11.6%) in the </w:t>
      </w:r>
    </w:p>
    <w:p w14:paraId="2C24C3D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saline</w:t>
      </w:r>
      <w:proofErr w:type="gramEnd"/>
      <w:r w:rsidRPr="00942800">
        <w:rPr>
          <w:sz w:val="22"/>
          <w:szCs w:val="22"/>
        </w:rPr>
        <w:t xml:space="preserve"> group (hazard ratio, 1.32, 95% CI, 1.06 to 1.66; P=0.01).</w:t>
      </w:r>
    </w:p>
    <w:p w14:paraId="197995B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The rates of reoperation were similar regardless of irrigation</w:t>
      </w:r>
    </w:p>
    <w:p w14:paraId="6870CD4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pressure</w:t>
      </w:r>
      <w:proofErr w:type="gramEnd"/>
      <w:r w:rsidRPr="00942800">
        <w:rPr>
          <w:sz w:val="22"/>
          <w:szCs w:val="22"/>
        </w:rPr>
        <w:t>, a finding that indicates that very low pressure is an acceptable,</w:t>
      </w:r>
    </w:p>
    <w:p w14:paraId="4A7F905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low</w:t>
      </w:r>
      <w:proofErr w:type="gramEnd"/>
      <w:r w:rsidRPr="00942800">
        <w:rPr>
          <w:sz w:val="22"/>
          <w:szCs w:val="22"/>
        </w:rPr>
        <w:t>-cost alternative for the irrigation of open fractures. The reoperation rate</w:t>
      </w:r>
    </w:p>
    <w:p w14:paraId="1AD1C70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was</w:t>
      </w:r>
      <w:proofErr w:type="gramEnd"/>
      <w:r w:rsidRPr="00942800">
        <w:rPr>
          <w:sz w:val="22"/>
          <w:szCs w:val="22"/>
        </w:rPr>
        <w:t xml:space="preserve"> higher in the soap group than in the saline group</w:t>
      </w:r>
    </w:p>
    <w:p w14:paraId="7CCE2F5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0CF9F7F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6CAB7C59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Dec 17</w:t>
      </w:r>
      <w:proofErr w:type="gramStart"/>
      <w:r w:rsidRPr="00942800">
        <w:rPr>
          <w:sz w:val="22"/>
          <w:szCs w:val="22"/>
        </w:rPr>
        <w:t>;373</w:t>
      </w:r>
      <w:proofErr w:type="gramEnd"/>
      <w:r w:rsidRPr="00942800">
        <w:rPr>
          <w:sz w:val="22"/>
          <w:szCs w:val="22"/>
        </w:rPr>
        <w:t xml:space="preserve">(25):2403-12. </w:t>
      </w:r>
    </w:p>
    <w:p w14:paraId="09CE6190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Hypothermia for Intracranial Hypertension after Traumatic Brain Injury.</w:t>
      </w:r>
      <w:proofErr w:type="gramEnd"/>
    </w:p>
    <w:p w14:paraId="4D819546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</w:p>
    <w:p w14:paraId="7F486E99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In patients with traumatic brain injury, hypothermia can reduce</w:t>
      </w:r>
    </w:p>
    <w:p w14:paraId="18C7F16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intracranial</w:t>
      </w:r>
      <w:proofErr w:type="gramEnd"/>
      <w:r w:rsidRPr="00942800">
        <w:rPr>
          <w:sz w:val="22"/>
          <w:szCs w:val="22"/>
        </w:rPr>
        <w:t xml:space="preserve"> hypertension. The benefit of hypothermia on functional outcome is</w:t>
      </w:r>
    </w:p>
    <w:p w14:paraId="4985903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unclear</w:t>
      </w:r>
      <w:proofErr w:type="gramEnd"/>
      <w:r w:rsidRPr="00942800">
        <w:rPr>
          <w:sz w:val="22"/>
          <w:szCs w:val="22"/>
        </w:rPr>
        <w:t>.</w:t>
      </w:r>
    </w:p>
    <w:p w14:paraId="23FAF2AA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We randomly assigned adults with an intracranial pressure of more than</w:t>
      </w:r>
    </w:p>
    <w:p w14:paraId="6D3C255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20 mm Hg despite stage 1 treatments (including mechanical ventilation and</w:t>
      </w:r>
    </w:p>
    <w:p w14:paraId="3770922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sedation</w:t>
      </w:r>
      <w:proofErr w:type="gramEnd"/>
      <w:r w:rsidRPr="00942800">
        <w:rPr>
          <w:sz w:val="22"/>
          <w:szCs w:val="22"/>
        </w:rPr>
        <w:t xml:space="preserve"> management) to standard care (control group) or hypothermia (32 to 35°C)</w:t>
      </w:r>
    </w:p>
    <w:p w14:paraId="74A3DA9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plus</w:t>
      </w:r>
      <w:proofErr w:type="gramEnd"/>
      <w:r w:rsidRPr="00942800">
        <w:rPr>
          <w:sz w:val="22"/>
          <w:szCs w:val="22"/>
        </w:rPr>
        <w:t xml:space="preserve"> standard care. In the control group, stage 2 treatments (e.g., </w:t>
      </w:r>
      <w:proofErr w:type="spellStart"/>
      <w:r w:rsidRPr="00942800">
        <w:rPr>
          <w:sz w:val="22"/>
          <w:szCs w:val="22"/>
        </w:rPr>
        <w:t>osmotherapy</w:t>
      </w:r>
      <w:proofErr w:type="spellEnd"/>
      <w:r w:rsidRPr="00942800">
        <w:rPr>
          <w:sz w:val="22"/>
          <w:szCs w:val="22"/>
        </w:rPr>
        <w:t xml:space="preserve">) </w:t>
      </w:r>
    </w:p>
    <w:p w14:paraId="4D0535A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were</w:t>
      </w:r>
      <w:proofErr w:type="gramEnd"/>
      <w:r w:rsidRPr="00942800">
        <w:rPr>
          <w:sz w:val="22"/>
          <w:szCs w:val="22"/>
        </w:rPr>
        <w:t xml:space="preserve"> added as needed to control intracranial pressure. In the hypothermia group, </w:t>
      </w:r>
    </w:p>
    <w:p w14:paraId="5BE767F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stage</w:t>
      </w:r>
      <w:proofErr w:type="gramEnd"/>
      <w:r w:rsidRPr="00942800">
        <w:rPr>
          <w:sz w:val="22"/>
          <w:szCs w:val="22"/>
        </w:rPr>
        <w:t xml:space="preserve"> 2 treatments were added only if hypothermia failed to control intracranial </w:t>
      </w:r>
    </w:p>
    <w:p w14:paraId="578D0A1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pressure</w:t>
      </w:r>
      <w:proofErr w:type="gramEnd"/>
      <w:r w:rsidRPr="00942800">
        <w:rPr>
          <w:sz w:val="22"/>
          <w:szCs w:val="22"/>
        </w:rPr>
        <w:t xml:space="preserve">. In both groups, stage 3 treatments (barbiturates and </w:t>
      </w:r>
      <w:proofErr w:type="spellStart"/>
      <w:r w:rsidRPr="00942800">
        <w:rPr>
          <w:sz w:val="22"/>
          <w:szCs w:val="22"/>
        </w:rPr>
        <w:t>decompressive</w:t>
      </w:r>
      <w:proofErr w:type="spellEnd"/>
    </w:p>
    <w:p w14:paraId="58C9ACA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spellStart"/>
      <w:proofErr w:type="gramStart"/>
      <w:r w:rsidRPr="00942800">
        <w:rPr>
          <w:sz w:val="22"/>
          <w:szCs w:val="22"/>
        </w:rPr>
        <w:t>craniectomy</w:t>
      </w:r>
      <w:proofErr w:type="spellEnd"/>
      <w:proofErr w:type="gramEnd"/>
      <w:r w:rsidRPr="00942800">
        <w:rPr>
          <w:sz w:val="22"/>
          <w:szCs w:val="22"/>
        </w:rPr>
        <w:t>) were used if all stage 2 treatments failed to control intracranial</w:t>
      </w:r>
    </w:p>
    <w:p w14:paraId="4BF1BD1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pressure</w:t>
      </w:r>
      <w:proofErr w:type="gramEnd"/>
      <w:r w:rsidRPr="00942800">
        <w:rPr>
          <w:sz w:val="22"/>
          <w:szCs w:val="22"/>
        </w:rPr>
        <w:t>. The primary outcome was the score on the Extended Glasgow Outcome Scale</w:t>
      </w:r>
    </w:p>
    <w:p w14:paraId="13EFF23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(GOS-E; range, 1 to 8, with lower scores indicating a worse functional outcome)</w:t>
      </w:r>
    </w:p>
    <w:p w14:paraId="772B560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at</w:t>
      </w:r>
      <w:proofErr w:type="gramEnd"/>
      <w:r w:rsidRPr="00942800">
        <w:rPr>
          <w:sz w:val="22"/>
          <w:szCs w:val="22"/>
        </w:rPr>
        <w:t xml:space="preserve"> 6 months. The treatment effect was estimated with ordinal logistic regression </w:t>
      </w:r>
    </w:p>
    <w:p w14:paraId="548F6F8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adjusted</w:t>
      </w:r>
      <w:proofErr w:type="gramEnd"/>
      <w:r w:rsidRPr="00942800">
        <w:rPr>
          <w:sz w:val="22"/>
          <w:szCs w:val="22"/>
        </w:rPr>
        <w:t xml:space="preserve"> for </w:t>
      </w:r>
      <w:proofErr w:type="spellStart"/>
      <w:r w:rsidRPr="00942800">
        <w:rPr>
          <w:sz w:val="22"/>
          <w:szCs w:val="22"/>
        </w:rPr>
        <w:t>prespecified</w:t>
      </w:r>
      <w:proofErr w:type="spellEnd"/>
      <w:r w:rsidRPr="00942800">
        <w:rPr>
          <w:sz w:val="22"/>
          <w:szCs w:val="22"/>
        </w:rPr>
        <w:t xml:space="preserve"> prognostic factors and expressed as a common odds ratio</w:t>
      </w:r>
    </w:p>
    <w:p w14:paraId="1DB58D8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</w:t>
      </w:r>
      <w:proofErr w:type="gramStart"/>
      <w:r w:rsidRPr="00942800">
        <w:rPr>
          <w:sz w:val="22"/>
          <w:szCs w:val="22"/>
        </w:rPr>
        <w:t>with</w:t>
      </w:r>
      <w:proofErr w:type="gramEnd"/>
      <w:r w:rsidRPr="00942800">
        <w:rPr>
          <w:sz w:val="22"/>
          <w:szCs w:val="22"/>
        </w:rPr>
        <w:t xml:space="preserve"> an odds ratio &lt;1.0 favoring hypothermia).</w:t>
      </w:r>
    </w:p>
    <w:p w14:paraId="5903D3A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We enrolled 387 patients at 47 centers in 18 countries from November</w:t>
      </w:r>
    </w:p>
    <w:p w14:paraId="02DAA1E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2009 through October 2014, at which time recruitment was suspended owing to</w:t>
      </w:r>
    </w:p>
    <w:p w14:paraId="1882E42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safety</w:t>
      </w:r>
      <w:proofErr w:type="gramEnd"/>
      <w:r w:rsidRPr="00942800">
        <w:rPr>
          <w:sz w:val="22"/>
          <w:szCs w:val="22"/>
        </w:rPr>
        <w:t xml:space="preserve"> concerns. Stage 3 treatments were required to control intracranial</w:t>
      </w:r>
    </w:p>
    <w:p w14:paraId="70778AF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pressure</w:t>
      </w:r>
      <w:proofErr w:type="gramEnd"/>
      <w:r w:rsidRPr="00942800">
        <w:rPr>
          <w:sz w:val="22"/>
          <w:szCs w:val="22"/>
        </w:rPr>
        <w:t xml:space="preserve"> in 54% of the patients in the control group and in 44% of the patients</w:t>
      </w:r>
    </w:p>
    <w:p w14:paraId="351A9AD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</w:t>
      </w:r>
      <w:proofErr w:type="gramEnd"/>
      <w:r w:rsidRPr="00942800">
        <w:rPr>
          <w:sz w:val="22"/>
          <w:szCs w:val="22"/>
        </w:rPr>
        <w:t xml:space="preserve"> the hypothermia group. The adjusted common odds ratio for the GOS-E score was </w:t>
      </w:r>
    </w:p>
    <w:p w14:paraId="58B4039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1.53 (95% confidence interval, 1.02 to 2.30; P=0.04), indicating a worse outcome </w:t>
      </w:r>
    </w:p>
    <w:p w14:paraId="0CFAF35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</w:t>
      </w:r>
      <w:proofErr w:type="gramEnd"/>
      <w:r w:rsidRPr="00942800">
        <w:rPr>
          <w:sz w:val="22"/>
          <w:szCs w:val="22"/>
        </w:rPr>
        <w:t xml:space="preserve"> the hypothermia group than in the control group. A favorable outcome (GOS-E</w:t>
      </w:r>
    </w:p>
    <w:p w14:paraId="1255A2D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score</w:t>
      </w:r>
      <w:proofErr w:type="gramEnd"/>
      <w:r w:rsidRPr="00942800">
        <w:rPr>
          <w:sz w:val="22"/>
          <w:szCs w:val="22"/>
        </w:rPr>
        <w:t xml:space="preserve"> of 5 to 8, indicating moderate disability or good recovery) occurred in 26%</w:t>
      </w:r>
    </w:p>
    <w:p w14:paraId="7A54532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of</w:t>
      </w:r>
      <w:proofErr w:type="gramEnd"/>
      <w:r w:rsidRPr="00942800">
        <w:rPr>
          <w:sz w:val="22"/>
          <w:szCs w:val="22"/>
        </w:rPr>
        <w:t xml:space="preserve"> the patients in the hypothermia group and in 37% of the patients in the</w:t>
      </w:r>
    </w:p>
    <w:p w14:paraId="10075C4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control</w:t>
      </w:r>
      <w:proofErr w:type="gramEnd"/>
      <w:r w:rsidRPr="00942800">
        <w:rPr>
          <w:sz w:val="22"/>
          <w:szCs w:val="22"/>
        </w:rPr>
        <w:t xml:space="preserve"> group (P=0.03).</w:t>
      </w:r>
    </w:p>
    <w:p w14:paraId="056C10E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In patients with an intracranial pressure of more than 20 mm Hg</w:t>
      </w:r>
    </w:p>
    <w:p w14:paraId="1DD0F9C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after</w:t>
      </w:r>
      <w:proofErr w:type="gramEnd"/>
      <w:r w:rsidRPr="00942800">
        <w:rPr>
          <w:sz w:val="22"/>
          <w:szCs w:val="22"/>
        </w:rPr>
        <w:t xml:space="preserve"> traumatic brain injury, therapeutic hypothermia plus standard care to</w:t>
      </w:r>
    </w:p>
    <w:p w14:paraId="750A55C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reduce</w:t>
      </w:r>
      <w:proofErr w:type="gramEnd"/>
      <w:r w:rsidRPr="00942800">
        <w:rPr>
          <w:sz w:val="22"/>
          <w:szCs w:val="22"/>
        </w:rPr>
        <w:t xml:space="preserve"> intracranial pressure did not result in outcomes better than those with</w:t>
      </w:r>
    </w:p>
    <w:p w14:paraId="2889860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standard</w:t>
      </w:r>
      <w:proofErr w:type="gramEnd"/>
      <w:r w:rsidRPr="00942800">
        <w:rPr>
          <w:sz w:val="22"/>
          <w:szCs w:val="22"/>
        </w:rPr>
        <w:t xml:space="preserve"> care alone. </w:t>
      </w:r>
    </w:p>
    <w:p w14:paraId="3EE70F4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41432AF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48D3CA00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May 21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(21):1996-2005. </w:t>
      </w:r>
    </w:p>
    <w:p w14:paraId="7FF94966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Trial of short-course antimicrobial therapy for intraabdominal infection.</w:t>
      </w:r>
      <w:proofErr w:type="gramEnd"/>
    </w:p>
    <w:p w14:paraId="1981C15F" w14:textId="77777777" w:rsidR="00523187" w:rsidRPr="00942800" w:rsidRDefault="00523187" w:rsidP="00942800">
      <w:pPr>
        <w:ind w:left="360"/>
        <w:jc w:val="both"/>
        <w:rPr>
          <w:b/>
          <w:sz w:val="22"/>
          <w:szCs w:val="22"/>
        </w:rPr>
      </w:pPr>
    </w:p>
    <w:p w14:paraId="21E421F8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The successful treatment of intraabdominal infection requires a</w:t>
      </w:r>
    </w:p>
    <w:p w14:paraId="47F7F35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combination</w:t>
      </w:r>
      <w:proofErr w:type="gramEnd"/>
      <w:r w:rsidRPr="00942800">
        <w:rPr>
          <w:sz w:val="22"/>
          <w:szCs w:val="22"/>
        </w:rPr>
        <w:t xml:space="preserve"> of anatomical source control and antibiotics. The appropriate</w:t>
      </w:r>
    </w:p>
    <w:p w14:paraId="0E4059E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duration</w:t>
      </w:r>
      <w:proofErr w:type="gramEnd"/>
      <w:r w:rsidRPr="00942800">
        <w:rPr>
          <w:sz w:val="22"/>
          <w:szCs w:val="22"/>
        </w:rPr>
        <w:t xml:space="preserve"> of antimicrobial therapy remains unclear.</w:t>
      </w:r>
    </w:p>
    <w:p w14:paraId="55C5DD51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We randomly assigned 518 patients with complicated intraabdominal</w:t>
      </w:r>
    </w:p>
    <w:p w14:paraId="22C8439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infection</w:t>
      </w:r>
      <w:proofErr w:type="gramEnd"/>
      <w:r w:rsidRPr="00942800">
        <w:rPr>
          <w:sz w:val="22"/>
          <w:szCs w:val="22"/>
        </w:rPr>
        <w:t xml:space="preserve"> and adequate source control to receive antibiotics until 2 days after</w:t>
      </w:r>
    </w:p>
    <w:p w14:paraId="77D4F50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</w:t>
      </w:r>
      <w:proofErr w:type="gramEnd"/>
      <w:r w:rsidRPr="00942800">
        <w:rPr>
          <w:sz w:val="22"/>
          <w:szCs w:val="22"/>
        </w:rPr>
        <w:t xml:space="preserve"> resolution of fever, leukocytosis, and ileus, with a maximum of 10 days of</w:t>
      </w:r>
    </w:p>
    <w:p w14:paraId="3FC9083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therapy</w:t>
      </w:r>
      <w:proofErr w:type="gramEnd"/>
      <w:r w:rsidRPr="00942800">
        <w:rPr>
          <w:sz w:val="22"/>
          <w:szCs w:val="22"/>
        </w:rPr>
        <w:t xml:space="preserve"> (control group), or to receive a fixed course of antibiotics</w:t>
      </w:r>
    </w:p>
    <w:p w14:paraId="1E4C73B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</w:t>
      </w:r>
      <w:proofErr w:type="gramStart"/>
      <w:r w:rsidRPr="00942800">
        <w:rPr>
          <w:sz w:val="22"/>
          <w:szCs w:val="22"/>
        </w:rPr>
        <w:t>experimental</w:t>
      </w:r>
      <w:proofErr w:type="gramEnd"/>
      <w:r w:rsidRPr="00942800">
        <w:rPr>
          <w:sz w:val="22"/>
          <w:szCs w:val="22"/>
        </w:rPr>
        <w:t xml:space="preserve"> group) for 4±1 calendar days. The primary outcome was a composite</w:t>
      </w:r>
    </w:p>
    <w:p w14:paraId="75FF9EC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of</w:t>
      </w:r>
      <w:proofErr w:type="gramEnd"/>
      <w:r w:rsidRPr="00942800">
        <w:rPr>
          <w:sz w:val="22"/>
          <w:szCs w:val="22"/>
        </w:rPr>
        <w:t xml:space="preserve"> surgical-site infection, recurrent intraabdominal infection, or death within</w:t>
      </w:r>
    </w:p>
    <w:p w14:paraId="6A7BF33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30 days after the index source-control procedure, according to treatment group.</w:t>
      </w:r>
    </w:p>
    <w:p w14:paraId="302E6F9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Secondary outcomes included the duration of therapy and rates of subsequent</w:t>
      </w:r>
    </w:p>
    <w:p w14:paraId="007C52F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infections</w:t>
      </w:r>
      <w:proofErr w:type="gramEnd"/>
      <w:r w:rsidRPr="00942800">
        <w:rPr>
          <w:sz w:val="22"/>
          <w:szCs w:val="22"/>
        </w:rPr>
        <w:t>.</w:t>
      </w:r>
    </w:p>
    <w:p w14:paraId="3C88B14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Surgical-site infection, recurrent intraabdominal infection, or death</w:t>
      </w:r>
    </w:p>
    <w:p w14:paraId="6305531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occurred</w:t>
      </w:r>
      <w:proofErr w:type="gramEnd"/>
      <w:r w:rsidRPr="00942800">
        <w:rPr>
          <w:sz w:val="22"/>
          <w:szCs w:val="22"/>
        </w:rPr>
        <w:t xml:space="preserve"> in 56 of 257 patients in the experimental group (21.8%), as compared</w:t>
      </w:r>
    </w:p>
    <w:p w14:paraId="5E52B44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with</w:t>
      </w:r>
      <w:proofErr w:type="gramEnd"/>
      <w:r w:rsidRPr="00942800">
        <w:rPr>
          <w:sz w:val="22"/>
          <w:szCs w:val="22"/>
        </w:rPr>
        <w:t xml:space="preserve"> 58 of 260 patients in the control group (22.3%) (</w:t>
      </w:r>
      <w:proofErr w:type="gramStart"/>
      <w:r w:rsidRPr="00942800">
        <w:rPr>
          <w:sz w:val="22"/>
          <w:szCs w:val="22"/>
        </w:rPr>
        <w:t>absolute</w:t>
      </w:r>
      <w:proofErr w:type="gramEnd"/>
      <w:r w:rsidRPr="00942800">
        <w:rPr>
          <w:sz w:val="22"/>
          <w:szCs w:val="22"/>
        </w:rPr>
        <w:t xml:space="preserve"> difference, -0.5</w:t>
      </w:r>
    </w:p>
    <w:p w14:paraId="25DA4CA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percentage</w:t>
      </w:r>
      <w:proofErr w:type="gramEnd"/>
      <w:r w:rsidRPr="00942800">
        <w:rPr>
          <w:sz w:val="22"/>
          <w:szCs w:val="22"/>
        </w:rPr>
        <w:t xml:space="preserve"> point; 95% confidence interval [CI], -7.0 to 8.0; P=0.92). The median </w:t>
      </w:r>
    </w:p>
    <w:p w14:paraId="42BC56A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duration</w:t>
      </w:r>
      <w:proofErr w:type="gramEnd"/>
      <w:r w:rsidRPr="00942800">
        <w:rPr>
          <w:sz w:val="22"/>
          <w:szCs w:val="22"/>
        </w:rPr>
        <w:t xml:space="preserve"> of antibiotic therapy was 4.0 days (interquartile range, 4.0 to 5.0) in </w:t>
      </w:r>
    </w:p>
    <w:p w14:paraId="4E54006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</w:t>
      </w:r>
      <w:proofErr w:type="gramEnd"/>
      <w:r w:rsidRPr="00942800">
        <w:rPr>
          <w:sz w:val="22"/>
          <w:szCs w:val="22"/>
        </w:rPr>
        <w:t xml:space="preserve"> experimental group, as compared with 8.0 days (interquartile range, 5.0 to</w:t>
      </w:r>
    </w:p>
    <w:p w14:paraId="07A160A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10.0) </w:t>
      </w:r>
      <w:proofErr w:type="gramStart"/>
      <w:r w:rsidRPr="00942800">
        <w:rPr>
          <w:sz w:val="22"/>
          <w:szCs w:val="22"/>
        </w:rPr>
        <w:t>in</w:t>
      </w:r>
      <w:proofErr w:type="gramEnd"/>
      <w:r w:rsidRPr="00942800">
        <w:rPr>
          <w:sz w:val="22"/>
          <w:szCs w:val="22"/>
        </w:rPr>
        <w:t xml:space="preserve"> the control group (absolute difference, -4.0 days; 95% CI, -4.7 to -3.3;</w:t>
      </w:r>
    </w:p>
    <w:p w14:paraId="5506386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P&lt;0.001). No significant between-group differences were found in the individual</w:t>
      </w:r>
    </w:p>
    <w:p w14:paraId="6AAE3DF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rates</w:t>
      </w:r>
      <w:proofErr w:type="gramEnd"/>
      <w:r w:rsidRPr="00942800">
        <w:rPr>
          <w:sz w:val="22"/>
          <w:szCs w:val="22"/>
        </w:rPr>
        <w:t xml:space="preserve"> of the components of the primary outcome or in other secondary outcomes.</w:t>
      </w:r>
    </w:p>
    <w:p w14:paraId="398C7E0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In patients with intraabdominal infections who had undergone an</w:t>
      </w:r>
    </w:p>
    <w:p w14:paraId="5DCAD29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adequate</w:t>
      </w:r>
      <w:proofErr w:type="gramEnd"/>
      <w:r w:rsidRPr="00942800">
        <w:rPr>
          <w:sz w:val="22"/>
          <w:szCs w:val="22"/>
        </w:rPr>
        <w:t xml:space="preserve"> source-control procedure, the outcomes after fixed-duration antibiotic</w:t>
      </w:r>
    </w:p>
    <w:p w14:paraId="48FCD53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therapy</w:t>
      </w:r>
      <w:proofErr w:type="gramEnd"/>
      <w:r w:rsidRPr="00942800">
        <w:rPr>
          <w:sz w:val="22"/>
          <w:szCs w:val="22"/>
        </w:rPr>
        <w:t xml:space="preserve"> (approximately 4 days) were similar to those after a longer course of</w:t>
      </w:r>
    </w:p>
    <w:p w14:paraId="268CCFA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antibiotics</w:t>
      </w:r>
      <w:proofErr w:type="gramEnd"/>
      <w:r w:rsidRPr="00942800">
        <w:rPr>
          <w:sz w:val="22"/>
          <w:szCs w:val="22"/>
        </w:rPr>
        <w:t xml:space="preserve"> (approximately 8 days) that extended until after the resolution of</w:t>
      </w:r>
    </w:p>
    <w:p w14:paraId="03076C1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physiological</w:t>
      </w:r>
      <w:proofErr w:type="gramEnd"/>
      <w:r w:rsidRPr="00942800">
        <w:rPr>
          <w:sz w:val="22"/>
          <w:szCs w:val="22"/>
        </w:rPr>
        <w:t xml:space="preserve"> abnormalities. </w:t>
      </w:r>
    </w:p>
    <w:p w14:paraId="4EC9DB0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30E4C2B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530E93D0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Jun 18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(25):2398-408. </w:t>
      </w:r>
    </w:p>
    <w:p w14:paraId="71496847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r w:rsidRPr="00942800">
        <w:rPr>
          <w:b/>
          <w:sz w:val="22"/>
          <w:szCs w:val="22"/>
        </w:rPr>
        <w:t>Permissive Underfeeding or Standard Enteral Feeding in Critically Ill Adults.</w:t>
      </w:r>
    </w:p>
    <w:p w14:paraId="2832643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303AF4D6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The appropriate caloric goal for critically ill adults is unclear. We</w:t>
      </w:r>
    </w:p>
    <w:p w14:paraId="60CF765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evaluated</w:t>
      </w:r>
      <w:proofErr w:type="gramEnd"/>
      <w:r w:rsidRPr="00942800">
        <w:rPr>
          <w:sz w:val="22"/>
          <w:szCs w:val="22"/>
        </w:rPr>
        <w:t xml:space="preserve"> the effect of restriction of </w:t>
      </w:r>
      <w:proofErr w:type="spellStart"/>
      <w:r w:rsidRPr="00942800">
        <w:rPr>
          <w:sz w:val="22"/>
          <w:szCs w:val="22"/>
        </w:rPr>
        <w:t>nonprotein</w:t>
      </w:r>
      <w:proofErr w:type="spellEnd"/>
      <w:r w:rsidRPr="00942800">
        <w:rPr>
          <w:sz w:val="22"/>
          <w:szCs w:val="22"/>
        </w:rPr>
        <w:t xml:space="preserve"> calories (permissive</w:t>
      </w:r>
    </w:p>
    <w:p w14:paraId="11FB646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underfeeding</w:t>
      </w:r>
      <w:proofErr w:type="gramEnd"/>
      <w:r w:rsidRPr="00942800">
        <w:rPr>
          <w:sz w:val="22"/>
          <w:szCs w:val="22"/>
        </w:rPr>
        <w:t>), as compared with standard enteral feeding, on 90-day mortality</w:t>
      </w:r>
    </w:p>
    <w:p w14:paraId="7446E4B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among</w:t>
      </w:r>
      <w:proofErr w:type="gramEnd"/>
      <w:r w:rsidRPr="00942800">
        <w:rPr>
          <w:sz w:val="22"/>
          <w:szCs w:val="22"/>
        </w:rPr>
        <w:t xml:space="preserve"> critically ill adults, with maintenance of the full recommended amount of</w:t>
      </w:r>
    </w:p>
    <w:p w14:paraId="5EC0DD2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protein</w:t>
      </w:r>
      <w:proofErr w:type="gramEnd"/>
      <w:r w:rsidRPr="00942800">
        <w:rPr>
          <w:sz w:val="22"/>
          <w:szCs w:val="22"/>
        </w:rPr>
        <w:t xml:space="preserve"> in both groups.</w:t>
      </w:r>
    </w:p>
    <w:p w14:paraId="27F1F711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b/>
          <w:sz w:val="22"/>
          <w:szCs w:val="22"/>
        </w:rPr>
        <w:t>:</w:t>
      </w:r>
      <w:r w:rsidR="001008C6" w:rsidRPr="00942800">
        <w:rPr>
          <w:sz w:val="22"/>
          <w:szCs w:val="22"/>
        </w:rPr>
        <w:t xml:space="preserve"> At seven centers, we randomly assigned 894 critically ill adults with a </w:t>
      </w:r>
    </w:p>
    <w:p w14:paraId="08A01A5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medical</w:t>
      </w:r>
      <w:proofErr w:type="gramEnd"/>
      <w:r w:rsidRPr="00942800">
        <w:rPr>
          <w:sz w:val="22"/>
          <w:szCs w:val="22"/>
        </w:rPr>
        <w:t>, surgical, or trauma admission category to permissive underfeeding (40 to</w:t>
      </w:r>
    </w:p>
    <w:p w14:paraId="011F93A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60% of calculated caloric requirements) or standard enteral feeding (70 to 100%) </w:t>
      </w:r>
    </w:p>
    <w:p w14:paraId="336F9CB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for</w:t>
      </w:r>
      <w:proofErr w:type="gramEnd"/>
      <w:r w:rsidRPr="00942800">
        <w:rPr>
          <w:sz w:val="22"/>
          <w:szCs w:val="22"/>
        </w:rPr>
        <w:t xml:space="preserve"> up to 14 days while maintaining a similar protein intake in the two groups.</w:t>
      </w:r>
    </w:p>
    <w:p w14:paraId="5BDD1EA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The primary outcome was 90-day mortality.</w:t>
      </w:r>
    </w:p>
    <w:p w14:paraId="4CED0AA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Baseline characteristics were similar in the two groups; 96.8% of the</w:t>
      </w:r>
    </w:p>
    <w:p w14:paraId="3CBD6F2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patients</w:t>
      </w:r>
      <w:proofErr w:type="gramEnd"/>
      <w:r w:rsidRPr="00942800">
        <w:rPr>
          <w:sz w:val="22"/>
          <w:szCs w:val="22"/>
        </w:rPr>
        <w:t xml:space="preserve"> were receiving mechanical ventilation. During the intervention period,</w:t>
      </w:r>
    </w:p>
    <w:p w14:paraId="4A5DC22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</w:t>
      </w:r>
      <w:proofErr w:type="gramEnd"/>
      <w:r w:rsidRPr="00942800">
        <w:rPr>
          <w:sz w:val="22"/>
          <w:szCs w:val="22"/>
        </w:rPr>
        <w:t xml:space="preserve"> permissive-underfeeding group received fewer mean (±SD) calories than did the</w:t>
      </w:r>
    </w:p>
    <w:p w14:paraId="09EEE2C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standard</w:t>
      </w:r>
      <w:proofErr w:type="gramEnd"/>
      <w:r w:rsidRPr="00942800">
        <w:rPr>
          <w:sz w:val="22"/>
          <w:szCs w:val="22"/>
        </w:rPr>
        <w:t xml:space="preserve">-feeding group (835±297 kcal per day vs. 1299±467 kcal per day, P&lt;0.001; </w:t>
      </w:r>
    </w:p>
    <w:p w14:paraId="2C7DFEF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46±14% vs. 71±22% of caloric requirements, P&lt;0.001). Protein intake was similar</w:t>
      </w:r>
    </w:p>
    <w:p w14:paraId="78AB6FC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</w:t>
      </w:r>
      <w:proofErr w:type="gramEnd"/>
      <w:r w:rsidRPr="00942800">
        <w:rPr>
          <w:sz w:val="22"/>
          <w:szCs w:val="22"/>
        </w:rPr>
        <w:t xml:space="preserve"> the two groups (57±24 g per day and 59±25 g per day, respectively; P=0.29).</w:t>
      </w:r>
    </w:p>
    <w:p w14:paraId="63EBC62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The 90-day mortality was similar: 121 of 445 patients (27.2%) in the</w:t>
      </w:r>
    </w:p>
    <w:p w14:paraId="671EEF6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permissive</w:t>
      </w:r>
      <w:proofErr w:type="gramEnd"/>
      <w:r w:rsidRPr="00942800">
        <w:rPr>
          <w:sz w:val="22"/>
          <w:szCs w:val="22"/>
        </w:rPr>
        <w:t>-underfeeding group and 127 of 440 patients (28.9%) in the</w:t>
      </w:r>
    </w:p>
    <w:p w14:paraId="28D27B8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standard</w:t>
      </w:r>
      <w:proofErr w:type="gramEnd"/>
      <w:r w:rsidRPr="00942800">
        <w:rPr>
          <w:sz w:val="22"/>
          <w:szCs w:val="22"/>
        </w:rPr>
        <w:t>-feeding group died (relative risk with permissive underfeeding, 0.94;</w:t>
      </w:r>
    </w:p>
    <w:p w14:paraId="2DDA170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95% confidence interval [CI], 0.76 to 1.16; P=0.58). No serious adverse events</w:t>
      </w:r>
    </w:p>
    <w:p w14:paraId="22B3373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were</w:t>
      </w:r>
      <w:proofErr w:type="gramEnd"/>
      <w:r w:rsidRPr="00942800">
        <w:rPr>
          <w:sz w:val="22"/>
          <w:szCs w:val="22"/>
        </w:rPr>
        <w:t xml:space="preserve"> reported; there were no significant between-group differences with respect</w:t>
      </w:r>
    </w:p>
    <w:p w14:paraId="505A55F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to</w:t>
      </w:r>
      <w:proofErr w:type="gramEnd"/>
      <w:r w:rsidRPr="00942800">
        <w:rPr>
          <w:sz w:val="22"/>
          <w:szCs w:val="22"/>
        </w:rPr>
        <w:t xml:space="preserve"> feeding intolerance, diarrhea, infections acquired in the intensive care unit </w:t>
      </w:r>
    </w:p>
    <w:p w14:paraId="34A0601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(ICU)</w:t>
      </w:r>
      <w:proofErr w:type="gramStart"/>
      <w:r w:rsidRPr="00942800">
        <w:rPr>
          <w:sz w:val="22"/>
          <w:szCs w:val="22"/>
        </w:rPr>
        <w:t>, or ICU or hospital length of stay.</w:t>
      </w:r>
      <w:proofErr w:type="gramEnd"/>
    </w:p>
    <w:p w14:paraId="0792FBC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 xml:space="preserve">: Enteral feeding to deliver a moderate amount of </w:t>
      </w:r>
      <w:proofErr w:type="spellStart"/>
      <w:r w:rsidRPr="00942800">
        <w:rPr>
          <w:sz w:val="22"/>
          <w:szCs w:val="22"/>
        </w:rPr>
        <w:t>nonprotein</w:t>
      </w:r>
      <w:proofErr w:type="spellEnd"/>
      <w:r w:rsidRPr="00942800">
        <w:rPr>
          <w:sz w:val="22"/>
          <w:szCs w:val="22"/>
        </w:rPr>
        <w:t xml:space="preserve"> calories </w:t>
      </w:r>
    </w:p>
    <w:p w14:paraId="2CD25F6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to</w:t>
      </w:r>
      <w:proofErr w:type="gramEnd"/>
      <w:r w:rsidRPr="00942800">
        <w:rPr>
          <w:sz w:val="22"/>
          <w:szCs w:val="22"/>
        </w:rPr>
        <w:t xml:space="preserve"> critically ill adults was not associated with lower mortality than that</w:t>
      </w:r>
    </w:p>
    <w:p w14:paraId="1DA1F4C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associated</w:t>
      </w:r>
      <w:proofErr w:type="gramEnd"/>
      <w:r w:rsidRPr="00942800">
        <w:rPr>
          <w:sz w:val="22"/>
          <w:szCs w:val="22"/>
        </w:rPr>
        <w:t xml:space="preserve"> with planned delivery of a full amount of </w:t>
      </w:r>
      <w:proofErr w:type="spellStart"/>
      <w:r w:rsidRPr="00942800">
        <w:rPr>
          <w:sz w:val="22"/>
          <w:szCs w:val="22"/>
        </w:rPr>
        <w:t>nonprotein</w:t>
      </w:r>
      <w:proofErr w:type="spellEnd"/>
      <w:r w:rsidRPr="00942800">
        <w:rPr>
          <w:sz w:val="22"/>
          <w:szCs w:val="22"/>
        </w:rPr>
        <w:t xml:space="preserve"> calories. </w:t>
      </w:r>
    </w:p>
    <w:p w14:paraId="6937C596" w14:textId="77777777" w:rsidR="00523187" w:rsidRPr="00942800" w:rsidRDefault="00523187" w:rsidP="00942800">
      <w:pPr>
        <w:ind w:left="360"/>
        <w:jc w:val="both"/>
        <w:rPr>
          <w:sz w:val="22"/>
          <w:szCs w:val="22"/>
        </w:rPr>
      </w:pPr>
    </w:p>
    <w:p w14:paraId="1BA40926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Jun 4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(23):2185-96. </w:t>
      </w:r>
    </w:p>
    <w:p w14:paraId="7EFFC1BB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High-flow oxygen through nasal cannula in acute hypoxemic respiratory failure.</w:t>
      </w:r>
      <w:proofErr w:type="gramEnd"/>
    </w:p>
    <w:p w14:paraId="34B8155A" w14:textId="77777777" w:rsidR="009960AB" w:rsidRPr="00942800" w:rsidRDefault="009960AB" w:rsidP="00942800">
      <w:pPr>
        <w:ind w:left="360"/>
        <w:jc w:val="both"/>
        <w:rPr>
          <w:b/>
          <w:sz w:val="22"/>
          <w:szCs w:val="22"/>
        </w:rPr>
      </w:pPr>
    </w:p>
    <w:p w14:paraId="1517DF43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Whether noninvasive ventilation should be administered in patients</w:t>
      </w:r>
    </w:p>
    <w:p w14:paraId="4FDCBE5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with</w:t>
      </w:r>
      <w:proofErr w:type="gramEnd"/>
      <w:r w:rsidRPr="00942800">
        <w:rPr>
          <w:sz w:val="22"/>
          <w:szCs w:val="22"/>
        </w:rPr>
        <w:t xml:space="preserve"> acute hypoxemic respiratory failure is debated. Therapy with high-flow</w:t>
      </w:r>
    </w:p>
    <w:p w14:paraId="627F07D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oxygen</w:t>
      </w:r>
      <w:proofErr w:type="gramEnd"/>
      <w:r w:rsidRPr="00942800">
        <w:rPr>
          <w:sz w:val="22"/>
          <w:szCs w:val="22"/>
        </w:rPr>
        <w:t xml:space="preserve"> through a nasal cannula may offer an alternative in patients with</w:t>
      </w:r>
    </w:p>
    <w:p w14:paraId="3E5D979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hypoxemia</w:t>
      </w:r>
      <w:proofErr w:type="gramEnd"/>
      <w:r w:rsidRPr="00942800">
        <w:rPr>
          <w:sz w:val="22"/>
          <w:szCs w:val="22"/>
        </w:rPr>
        <w:t>.</w:t>
      </w:r>
    </w:p>
    <w:p w14:paraId="278CF0FE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We performed a multicenter, open-label trial in which we randomly</w:t>
      </w:r>
    </w:p>
    <w:p w14:paraId="65060D2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assigned</w:t>
      </w:r>
      <w:proofErr w:type="gramEnd"/>
      <w:r w:rsidRPr="00942800">
        <w:rPr>
          <w:sz w:val="22"/>
          <w:szCs w:val="22"/>
        </w:rPr>
        <w:t xml:space="preserve"> patients without hypercapnia who had acute hypoxemic respiratory failure</w:t>
      </w:r>
    </w:p>
    <w:p w14:paraId="3433529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and</w:t>
      </w:r>
      <w:proofErr w:type="gramEnd"/>
      <w:r w:rsidRPr="00942800">
        <w:rPr>
          <w:sz w:val="22"/>
          <w:szCs w:val="22"/>
        </w:rPr>
        <w:t xml:space="preserve"> a ratio of the partial pressure of arterial oxygen to the fraction of</w:t>
      </w:r>
    </w:p>
    <w:p w14:paraId="2FF3E78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inspired</w:t>
      </w:r>
      <w:proofErr w:type="gramEnd"/>
      <w:r w:rsidRPr="00942800">
        <w:rPr>
          <w:sz w:val="22"/>
          <w:szCs w:val="22"/>
        </w:rPr>
        <w:t xml:space="preserve"> oxygen of 300 mm Hg or less to high-flow oxygen therapy, standard oxygen</w:t>
      </w:r>
    </w:p>
    <w:p w14:paraId="3B07331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therapy</w:t>
      </w:r>
      <w:proofErr w:type="gramEnd"/>
      <w:r w:rsidRPr="00942800">
        <w:rPr>
          <w:sz w:val="22"/>
          <w:szCs w:val="22"/>
        </w:rPr>
        <w:t xml:space="preserve"> delivered through a face mask, or noninvasive positive-pressure</w:t>
      </w:r>
    </w:p>
    <w:p w14:paraId="1E3FC08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ventilation</w:t>
      </w:r>
      <w:proofErr w:type="gramEnd"/>
      <w:r w:rsidRPr="00942800">
        <w:rPr>
          <w:sz w:val="22"/>
          <w:szCs w:val="22"/>
        </w:rPr>
        <w:t xml:space="preserve">. The primary outcome was the proportion of patients intubated at day </w:t>
      </w:r>
    </w:p>
    <w:p w14:paraId="0ECA370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28; secondary outcomes included all-cause mortality in the intensive care unit</w:t>
      </w:r>
    </w:p>
    <w:p w14:paraId="7EAE4A5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and</w:t>
      </w:r>
      <w:proofErr w:type="gramEnd"/>
      <w:r w:rsidRPr="00942800">
        <w:rPr>
          <w:sz w:val="22"/>
          <w:szCs w:val="22"/>
        </w:rPr>
        <w:t xml:space="preserve"> at 90 days and the number of ventilator-free days at day 28.</w:t>
      </w:r>
    </w:p>
    <w:p w14:paraId="7F67691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A total of 310 patients were included in the analyses. The intubation</w:t>
      </w:r>
    </w:p>
    <w:p w14:paraId="3D375DB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rate</w:t>
      </w:r>
      <w:proofErr w:type="gramEnd"/>
      <w:r w:rsidRPr="00942800">
        <w:rPr>
          <w:sz w:val="22"/>
          <w:szCs w:val="22"/>
        </w:rPr>
        <w:t xml:space="preserve"> (primary outcome) was 38% (40 of 106 patients) in the high-flow-oxygen</w:t>
      </w:r>
    </w:p>
    <w:p w14:paraId="1012FE8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</w:t>
      </w:r>
      <w:proofErr w:type="gramEnd"/>
      <w:r w:rsidRPr="00942800">
        <w:rPr>
          <w:sz w:val="22"/>
          <w:szCs w:val="22"/>
        </w:rPr>
        <w:t>, 47% (44 of 94) in the standard group, and 50% (55 of 110) in the</w:t>
      </w:r>
    </w:p>
    <w:p w14:paraId="43BBAB6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noninvasive</w:t>
      </w:r>
      <w:proofErr w:type="gramEnd"/>
      <w:r w:rsidRPr="00942800">
        <w:rPr>
          <w:sz w:val="22"/>
          <w:szCs w:val="22"/>
        </w:rPr>
        <w:t>-ventilation group (P=0.18 for all comparisons). The number of</w:t>
      </w:r>
    </w:p>
    <w:p w14:paraId="11AC76C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ventilator</w:t>
      </w:r>
      <w:proofErr w:type="gramEnd"/>
      <w:r w:rsidRPr="00942800">
        <w:rPr>
          <w:sz w:val="22"/>
          <w:szCs w:val="22"/>
        </w:rPr>
        <w:t>-free days at day 28 was significantly higher in the high-flow-oxygen</w:t>
      </w:r>
    </w:p>
    <w:p w14:paraId="20546AC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</w:t>
      </w:r>
      <w:proofErr w:type="gramEnd"/>
      <w:r w:rsidRPr="00942800">
        <w:rPr>
          <w:sz w:val="22"/>
          <w:szCs w:val="22"/>
        </w:rPr>
        <w:t xml:space="preserve"> (24±8 days, vs. 22±10 in the standard-oxygen group and 19±12 in the</w:t>
      </w:r>
    </w:p>
    <w:p w14:paraId="61915BF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noninvasive</w:t>
      </w:r>
      <w:proofErr w:type="gramEnd"/>
      <w:r w:rsidRPr="00942800">
        <w:rPr>
          <w:sz w:val="22"/>
          <w:szCs w:val="22"/>
        </w:rPr>
        <w:t xml:space="preserve">-ventilation group; P=0.02 for all comparisons). The hazard ratio for </w:t>
      </w:r>
    </w:p>
    <w:p w14:paraId="2082D0E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death</w:t>
      </w:r>
      <w:proofErr w:type="gramEnd"/>
      <w:r w:rsidRPr="00942800">
        <w:rPr>
          <w:sz w:val="22"/>
          <w:szCs w:val="22"/>
        </w:rPr>
        <w:t xml:space="preserve"> at 90 days was 2.01 (95% confidence interval [CI], 1.01 to 3.99) with</w:t>
      </w:r>
    </w:p>
    <w:p w14:paraId="559404A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standard</w:t>
      </w:r>
      <w:proofErr w:type="gramEnd"/>
      <w:r w:rsidRPr="00942800">
        <w:rPr>
          <w:sz w:val="22"/>
          <w:szCs w:val="22"/>
        </w:rPr>
        <w:t xml:space="preserve"> oxygen versus high-flow oxygen (P=0.046) and 2.50 (95% CI, 1.31 to 4.78)</w:t>
      </w:r>
    </w:p>
    <w:p w14:paraId="2A836E5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with</w:t>
      </w:r>
      <w:proofErr w:type="gramEnd"/>
      <w:r w:rsidRPr="00942800">
        <w:rPr>
          <w:sz w:val="22"/>
          <w:szCs w:val="22"/>
        </w:rPr>
        <w:t xml:space="preserve"> noninvasive ventilation versus high-flow oxygen (P=0.006).</w:t>
      </w:r>
    </w:p>
    <w:p w14:paraId="0F2D844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 xml:space="preserve">: In patients with </w:t>
      </w:r>
      <w:proofErr w:type="spellStart"/>
      <w:r w:rsidRPr="00942800">
        <w:rPr>
          <w:sz w:val="22"/>
          <w:szCs w:val="22"/>
        </w:rPr>
        <w:t>nonhypercapnic</w:t>
      </w:r>
      <w:proofErr w:type="spellEnd"/>
      <w:r w:rsidRPr="00942800">
        <w:rPr>
          <w:sz w:val="22"/>
          <w:szCs w:val="22"/>
        </w:rPr>
        <w:t xml:space="preserve"> acute hypoxemic respiratory failure,</w:t>
      </w:r>
    </w:p>
    <w:p w14:paraId="6038953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treatment</w:t>
      </w:r>
      <w:proofErr w:type="gramEnd"/>
      <w:r w:rsidRPr="00942800">
        <w:rPr>
          <w:sz w:val="22"/>
          <w:szCs w:val="22"/>
        </w:rPr>
        <w:t xml:space="preserve"> with high-flow oxygen, standard oxygen, or noninvasive ventilation did </w:t>
      </w:r>
    </w:p>
    <w:p w14:paraId="75C1881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not</w:t>
      </w:r>
      <w:proofErr w:type="gramEnd"/>
      <w:r w:rsidRPr="00942800">
        <w:rPr>
          <w:sz w:val="22"/>
          <w:szCs w:val="22"/>
        </w:rPr>
        <w:t xml:space="preserve"> result in significantly different intubation rates. There was a significant</w:t>
      </w:r>
    </w:p>
    <w:p w14:paraId="1C8ED92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difference</w:t>
      </w:r>
      <w:proofErr w:type="gramEnd"/>
      <w:r w:rsidRPr="00942800">
        <w:rPr>
          <w:sz w:val="22"/>
          <w:szCs w:val="22"/>
        </w:rPr>
        <w:t xml:space="preserve"> in favor of high-flow oxygen in 90-day mortality. </w:t>
      </w:r>
    </w:p>
    <w:p w14:paraId="2F2CD41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65D0DE3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18EA448B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May 14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(20):1898-908. </w:t>
      </w:r>
    </w:p>
    <w:p w14:paraId="6E544A6E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Therapeutic hypothermia after out-of-hospital cardiac arrest in children.</w:t>
      </w:r>
      <w:proofErr w:type="gramEnd"/>
    </w:p>
    <w:p w14:paraId="32B8582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651B4D59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Therapeutic hypothermia is recommended for comatose adults after</w:t>
      </w:r>
    </w:p>
    <w:p w14:paraId="6373467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witnessed</w:t>
      </w:r>
      <w:proofErr w:type="gramEnd"/>
      <w:r w:rsidRPr="00942800">
        <w:rPr>
          <w:sz w:val="22"/>
          <w:szCs w:val="22"/>
        </w:rPr>
        <w:t xml:space="preserve"> out-of-hospital cardiac arrest, but data about this intervention in</w:t>
      </w:r>
    </w:p>
    <w:p w14:paraId="58633C1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children</w:t>
      </w:r>
      <w:proofErr w:type="gramEnd"/>
      <w:r w:rsidRPr="00942800">
        <w:rPr>
          <w:sz w:val="22"/>
          <w:szCs w:val="22"/>
        </w:rPr>
        <w:t xml:space="preserve"> are limited.</w:t>
      </w:r>
    </w:p>
    <w:p w14:paraId="720517AB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 xml:space="preserve">: We conducted this trial of two targeted temperature interventions at 38 </w:t>
      </w:r>
    </w:p>
    <w:p w14:paraId="4869E8B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children's</w:t>
      </w:r>
      <w:proofErr w:type="gramEnd"/>
      <w:r w:rsidRPr="00942800">
        <w:rPr>
          <w:sz w:val="22"/>
          <w:szCs w:val="22"/>
        </w:rPr>
        <w:t xml:space="preserve"> hospitals involving children who remained unconscious after</w:t>
      </w:r>
    </w:p>
    <w:p w14:paraId="221290F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out</w:t>
      </w:r>
      <w:proofErr w:type="gramEnd"/>
      <w:r w:rsidRPr="00942800">
        <w:rPr>
          <w:sz w:val="22"/>
          <w:szCs w:val="22"/>
        </w:rPr>
        <w:t>-of-hospital cardiac arrest. Within 6 hours after the return of circulation,</w:t>
      </w:r>
    </w:p>
    <w:p w14:paraId="3D50730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comatose</w:t>
      </w:r>
      <w:proofErr w:type="gramEnd"/>
      <w:r w:rsidRPr="00942800">
        <w:rPr>
          <w:sz w:val="22"/>
          <w:szCs w:val="22"/>
        </w:rPr>
        <w:t xml:space="preserve"> patients who were older than 2 days and younger than 18 years of age</w:t>
      </w:r>
    </w:p>
    <w:p w14:paraId="5259B3D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were</w:t>
      </w:r>
      <w:proofErr w:type="gramEnd"/>
      <w:r w:rsidRPr="00942800">
        <w:rPr>
          <w:sz w:val="22"/>
          <w:szCs w:val="22"/>
        </w:rPr>
        <w:t xml:space="preserve"> randomly assigned to therapeutic hypothermia (target temperature, 33.0°C) or</w:t>
      </w:r>
    </w:p>
    <w:p w14:paraId="56548F2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therapeutic</w:t>
      </w:r>
      <w:proofErr w:type="gramEnd"/>
      <w:r w:rsidRPr="00942800">
        <w:rPr>
          <w:sz w:val="22"/>
          <w:szCs w:val="22"/>
        </w:rPr>
        <w:t xml:space="preserve"> </w:t>
      </w:r>
      <w:proofErr w:type="spellStart"/>
      <w:r w:rsidRPr="00942800">
        <w:rPr>
          <w:sz w:val="22"/>
          <w:szCs w:val="22"/>
        </w:rPr>
        <w:t>normothermia</w:t>
      </w:r>
      <w:proofErr w:type="spellEnd"/>
      <w:r w:rsidRPr="00942800">
        <w:rPr>
          <w:sz w:val="22"/>
          <w:szCs w:val="22"/>
        </w:rPr>
        <w:t xml:space="preserve"> (target temperature, 36.8°C). The primary efficacy</w:t>
      </w:r>
    </w:p>
    <w:p w14:paraId="05049B6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outcome</w:t>
      </w:r>
      <w:proofErr w:type="gramEnd"/>
      <w:r w:rsidRPr="00942800">
        <w:rPr>
          <w:sz w:val="22"/>
          <w:szCs w:val="22"/>
        </w:rPr>
        <w:t>, survival at 12 months after cardiac arrest with a Vineland Adaptive</w:t>
      </w:r>
    </w:p>
    <w:p w14:paraId="1CCB1FF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Behavior Scales, second edition (VABS-II), score of 70 or higher (on a scale from</w:t>
      </w:r>
    </w:p>
    <w:p w14:paraId="3795A37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20 to 160, with higher scores indicating better function), was evaluated among</w:t>
      </w:r>
    </w:p>
    <w:p w14:paraId="02ABEAB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patients</w:t>
      </w:r>
      <w:proofErr w:type="gramEnd"/>
      <w:r w:rsidRPr="00942800">
        <w:rPr>
          <w:sz w:val="22"/>
          <w:szCs w:val="22"/>
        </w:rPr>
        <w:t xml:space="preserve"> with a VABS-II score of at least 70 before cardiac arrest.</w:t>
      </w:r>
    </w:p>
    <w:p w14:paraId="1857241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 xml:space="preserve">: A total of 295 patients underwent randomization. Among the 260 patients </w:t>
      </w:r>
    </w:p>
    <w:p w14:paraId="6210BBD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with</w:t>
      </w:r>
      <w:proofErr w:type="gramEnd"/>
      <w:r w:rsidRPr="00942800">
        <w:rPr>
          <w:sz w:val="22"/>
          <w:szCs w:val="22"/>
        </w:rPr>
        <w:t xml:space="preserve"> data that could be evaluated and who had a VABS-II score of at least 70</w:t>
      </w:r>
    </w:p>
    <w:p w14:paraId="3702C8A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before</w:t>
      </w:r>
      <w:proofErr w:type="gramEnd"/>
      <w:r w:rsidRPr="00942800">
        <w:rPr>
          <w:sz w:val="22"/>
          <w:szCs w:val="22"/>
        </w:rPr>
        <w:t xml:space="preserve"> cardiac arrest, there was no significant difference in the primary outcome</w:t>
      </w:r>
    </w:p>
    <w:p w14:paraId="00D956B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between</w:t>
      </w:r>
      <w:proofErr w:type="gramEnd"/>
      <w:r w:rsidRPr="00942800">
        <w:rPr>
          <w:sz w:val="22"/>
          <w:szCs w:val="22"/>
        </w:rPr>
        <w:t xml:space="preserve"> the hypothermia group and the </w:t>
      </w:r>
      <w:proofErr w:type="spellStart"/>
      <w:r w:rsidRPr="00942800">
        <w:rPr>
          <w:sz w:val="22"/>
          <w:szCs w:val="22"/>
        </w:rPr>
        <w:t>normothermia</w:t>
      </w:r>
      <w:proofErr w:type="spellEnd"/>
      <w:r w:rsidRPr="00942800">
        <w:rPr>
          <w:sz w:val="22"/>
          <w:szCs w:val="22"/>
        </w:rPr>
        <w:t xml:space="preserve"> group (20% vs. 12%; relative</w:t>
      </w:r>
    </w:p>
    <w:p w14:paraId="2CE050F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likelihood</w:t>
      </w:r>
      <w:proofErr w:type="gramEnd"/>
      <w:r w:rsidRPr="00942800">
        <w:rPr>
          <w:sz w:val="22"/>
          <w:szCs w:val="22"/>
        </w:rPr>
        <w:t xml:space="preserve">, 1.54; 95% confidence interval [CI], 0.86 to 2.76; P=0.14). Among all </w:t>
      </w:r>
    </w:p>
    <w:p w14:paraId="3490080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</w:t>
      </w:r>
      <w:proofErr w:type="gramEnd"/>
      <w:r w:rsidRPr="00942800">
        <w:rPr>
          <w:sz w:val="22"/>
          <w:szCs w:val="22"/>
        </w:rPr>
        <w:t xml:space="preserve"> patients with data that could be evaluated, the change in the VABS-II score</w:t>
      </w:r>
    </w:p>
    <w:p w14:paraId="1491AFA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from</w:t>
      </w:r>
      <w:proofErr w:type="gramEnd"/>
      <w:r w:rsidRPr="00942800">
        <w:rPr>
          <w:sz w:val="22"/>
          <w:szCs w:val="22"/>
        </w:rPr>
        <w:t xml:space="preserve"> baseline to 12 months was not significantly different (P=0.13) and 1-year</w:t>
      </w:r>
    </w:p>
    <w:p w14:paraId="340C827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survival</w:t>
      </w:r>
      <w:proofErr w:type="gramEnd"/>
      <w:r w:rsidRPr="00942800">
        <w:rPr>
          <w:sz w:val="22"/>
          <w:szCs w:val="22"/>
        </w:rPr>
        <w:t xml:space="preserve"> was similar (38% in the hypothermia group vs. 29% in the </w:t>
      </w:r>
      <w:proofErr w:type="spellStart"/>
      <w:r w:rsidRPr="00942800">
        <w:rPr>
          <w:sz w:val="22"/>
          <w:szCs w:val="22"/>
        </w:rPr>
        <w:t>normothermia</w:t>
      </w:r>
      <w:proofErr w:type="spellEnd"/>
    </w:p>
    <w:p w14:paraId="5EF58A1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</w:t>
      </w:r>
      <w:proofErr w:type="gramEnd"/>
      <w:r w:rsidRPr="00942800">
        <w:rPr>
          <w:sz w:val="22"/>
          <w:szCs w:val="22"/>
        </w:rPr>
        <w:t>; relative likelihood, 1.29; 95% CI, 0.93 to 1.79; P=0.13). The groups had</w:t>
      </w:r>
    </w:p>
    <w:p w14:paraId="0CBFBD2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similar</w:t>
      </w:r>
      <w:proofErr w:type="gramEnd"/>
      <w:r w:rsidRPr="00942800">
        <w:rPr>
          <w:sz w:val="22"/>
          <w:szCs w:val="22"/>
        </w:rPr>
        <w:t xml:space="preserve"> incidences of infection and serious arrhythmias, as well as similar use</w:t>
      </w:r>
    </w:p>
    <w:p w14:paraId="32C78DA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of</w:t>
      </w:r>
      <w:proofErr w:type="gramEnd"/>
      <w:r w:rsidRPr="00942800">
        <w:rPr>
          <w:sz w:val="22"/>
          <w:szCs w:val="22"/>
        </w:rPr>
        <w:t xml:space="preserve"> blood products and 28-day mortality.</w:t>
      </w:r>
    </w:p>
    <w:p w14:paraId="2C912FE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In comatose children who survived out-of-hospital cardiac arrest,</w:t>
      </w:r>
    </w:p>
    <w:p w14:paraId="58E6B52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therapeutic</w:t>
      </w:r>
      <w:proofErr w:type="gramEnd"/>
      <w:r w:rsidRPr="00942800">
        <w:rPr>
          <w:sz w:val="22"/>
          <w:szCs w:val="22"/>
        </w:rPr>
        <w:t xml:space="preserve"> hypothermia, as compared with therapeutic </w:t>
      </w:r>
      <w:proofErr w:type="spellStart"/>
      <w:r w:rsidRPr="00942800">
        <w:rPr>
          <w:sz w:val="22"/>
          <w:szCs w:val="22"/>
        </w:rPr>
        <w:t>normothermia</w:t>
      </w:r>
      <w:proofErr w:type="spellEnd"/>
      <w:r w:rsidRPr="00942800">
        <w:rPr>
          <w:sz w:val="22"/>
          <w:szCs w:val="22"/>
        </w:rPr>
        <w:t>, did not</w:t>
      </w:r>
    </w:p>
    <w:p w14:paraId="25BFD6D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confer</w:t>
      </w:r>
      <w:proofErr w:type="gramEnd"/>
      <w:r w:rsidRPr="00942800">
        <w:rPr>
          <w:sz w:val="22"/>
          <w:szCs w:val="22"/>
        </w:rPr>
        <w:t xml:space="preserve"> a significant benefit in survival with a good functional outcome at 1</w:t>
      </w:r>
    </w:p>
    <w:p w14:paraId="4BA272E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year</w:t>
      </w:r>
      <w:proofErr w:type="gramEnd"/>
      <w:r w:rsidRPr="00942800">
        <w:rPr>
          <w:sz w:val="22"/>
          <w:szCs w:val="22"/>
        </w:rPr>
        <w:t xml:space="preserve">. </w:t>
      </w:r>
    </w:p>
    <w:p w14:paraId="321F4F4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76322412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Apr 9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(15):1410-8. </w:t>
      </w:r>
    </w:p>
    <w:p w14:paraId="7C9EC457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r w:rsidRPr="00942800">
        <w:rPr>
          <w:b/>
          <w:sz w:val="22"/>
          <w:szCs w:val="22"/>
        </w:rPr>
        <w:t>Age of transfused blood in critically ill adults.</w:t>
      </w:r>
    </w:p>
    <w:p w14:paraId="71DF3CE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1C308180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Fresh red cells may improve outcomes in critically ill patients by</w:t>
      </w:r>
    </w:p>
    <w:p w14:paraId="0BE4D0A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enhancing</w:t>
      </w:r>
      <w:proofErr w:type="gramEnd"/>
      <w:r w:rsidRPr="00942800">
        <w:rPr>
          <w:sz w:val="22"/>
          <w:szCs w:val="22"/>
        </w:rPr>
        <w:t xml:space="preserve"> oxygen delivery while minimizing the risks of toxic effects from</w:t>
      </w:r>
    </w:p>
    <w:p w14:paraId="6425AFF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cellular</w:t>
      </w:r>
      <w:proofErr w:type="gramEnd"/>
      <w:r w:rsidRPr="00942800">
        <w:rPr>
          <w:sz w:val="22"/>
          <w:szCs w:val="22"/>
        </w:rPr>
        <w:t xml:space="preserve"> changes and the accumulation of bioactive materials in blood components </w:t>
      </w:r>
    </w:p>
    <w:p w14:paraId="14DCAF5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during</w:t>
      </w:r>
      <w:proofErr w:type="gramEnd"/>
      <w:r w:rsidRPr="00942800">
        <w:rPr>
          <w:sz w:val="22"/>
          <w:szCs w:val="22"/>
        </w:rPr>
        <w:t xml:space="preserve"> prolonged storage.</w:t>
      </w:r>
    </w:p>
    <w:p w14:paraId="71403655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In this multicenter, randomized, blinded trial, we assigned critically</w:t>
      </w:r>
    </w:p>
    <w:p w14:paraId="477159E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ill</w:t>
      </w:r>
      <w:proofErr w:type="gramEnd"/>
      <w:r w:rsidRPr="00942800">
        <w:rPr>
          <w:sz w:val="22"/>
          <w:szCs w:val="22"/>
        </w:rPr>
        <w:t xml:space="preserve"> adults to receive either red cells that had been stored for less than 8 days </w:t>
      </w:r>
    </w:p>
    <w:p w14:paraId="6292087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or</w:t>
      </w:r>
      <w:proofErr w:type="gramEnd"/>
      <w:r w:rsidRPr="00942800">
        <w:rPr>
          <w:sz w:val="22"/>
          <w:szCs w:val="22"/>
        </w:rPr>
        <w:t xml:space="preserve"> standard-issue red cells (the oldest compatible units available in the blood</w:t>
      </w:r>
    </w:p>
    <w:p w14:paraId="175AD2F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bank</w:t>
      </w:r>
      <w:proofErr w:type="gramEnd"/>
      <w:r w:rsidRPr="00942800">
        <w:rPr>
          <w:sz w:val="22"/>
          <w:szCs w:val="22"/>
        </w:rPr>
        <w:t>). The primary outcome measure was 90-day mortality.</w:t>
      </w:r>
    </w:p>
    <w:p w14:paraId="125CD1A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Between March 2009 and May 2014, at 64 centers in Canada and Europe,</w:t>
      </w:r>
    </w:p>
    <w:p w14:paraId="0DE3F82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1211 patients were assigned to receive fresh red cells (fresh-blood group) and</w:t>
      </w:r>
    </w:p>
    <w:p w14:paraId="7DB35C4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1219 patients were assigned to receive standard-issue red cells (standard-blood</w:t>
      </w:r>
    </w:p>
    <w:p w14:paraId="64E93DB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</w:t>
      </w:r>
      <w:proofErr w:type="gramEnd"/>
      <w:r w:rsidRPr="00942800">
        <w:rPr>
          <w:sz w:val="22"/>
          <w:szCs w:val="22"/>
        </w:rPr>
        <w:t>). Red cells were stored a mean (±SD) of 6.1±4.9 days in the fresh-blood</w:t>
      </w:r>
    </w:p>
    <w:p w14:paraId="62F212A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</w:t>
      </w:r>
      <w:proofErr w:type="gramEnd"/>
      <w:r w:rsidRPr="00942800">
        <w:rPr>
          <w:sz w:val="22"/>
          <w:szCs w:val="22"/>
        </w:rPr>
        <w:t xml:space="preserve"> as compared with 22.0±8.4 days in the standard-blood group (P&lt;0.001). At 90</w:t>
      </w:r>
    </w:p>
    <w:p w14:paraId="7BC2D48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days</w:t>
      </w:r>
      <w:proofErr w:type="gramEnd"/>
      <w:r w:rsidRPr="00942800">
        <w:rPr>
          <w:sz w:val="22"/>
          <w:szCs w:val="22"/>
        </w:rPr>
        <w:t>, 448 patients (37.0%) in the fresh-blood group and 430 patients (35.3%) in</w:t>
      </w:r>
    </w:p>
    <w:p w14:paraId="7C6037E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</w:t>
      </w:r>
      <w:proofErr w:type="gramEnd"/>
      <w:r w:rsidRPr="00942800">
        <w:rPr>
          <w:sz w:val="22"/>
          <w:szCs w:val="22"/>
        </w:rPr>
        <w:t xml:space="preserve"> standard-blood group had died (absolute risk difference, 1.7 percentage</w:t>
      </w:r>
    </w:p>
    <w:p w14:paraId="124D724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points</w:t>
      </w:r>
      <w:proofErr w:type="gramEnd"/>
      <w:r w:rsidRPr="00942800">
        <w:rPr>
          <w:sz w:val="22"/>
          <w:szCs w:val="22"/>
        </w:rPr>
        <w:t>; 95% confidence interval [CI], -2.1 to 5.5). In the survival analysis, the</w:t>
      </w:r>
    </w:p>
    <w:p w14:paraId="40270F0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hazard</w:t>
      </w:r>
      <w:proofErr w:type="gramEnd"/>
      <w:r w:rsidRPr="00942800">
        <w:rPr>
          <w:sz w:val="22"/>
          <w:szCs w:val="22"/>
        </w:rPr>
        <w:t xml:space="preserve"> ratio for death in the fresh-blood group, as compared with the</w:t>
      </w:r>
    </w:p>
    <w:p w14:paraId="357745B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standard</w:t>
      </w:r>
      <w:proofErr w:type="gramEnd"/>
      <w:r w:rsidRPr="00942800">
        <w:rPr>
          <w:sz w:val="22"/>
          <w:szCs w:val="22"/>
        </w:rPr>
        <w:t>-blood group, was 1.1 (95% CI, 0.9 to 1.2; P=0.38). There were no</w:t>
      </w:r>
    </w:p>
    <w:p w14:paraId="3BBA921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significant</w:t>
      </w:r>
      <w:proofErr w:type="gramEnd"/>
      <w:r w:rsidRPr="00942800">
        <w:rPr>
          <w:sz w:val="22"/>
          <w:szCs w:val="22"/>
        </w:rPr>
        <w:t xml:space="preserve"> between-group differences in any of the secondary outcomes (major</w:t>
      </w:r>
    </w:p>
    <w:p w14:paraId="7F82511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illnesses</w:t>
      </w:r>
      <w:proofErr w:type="gramEnd"/>
      <w:r w:rsidRPr="00942800">
        <w:rPr>
          <w:sz w:val="22"/>
          <w:szCs w:val="22"/>
        </w:rPr>
        <w:t>; duration of respiratory, hemodynamic, or renal support; length of stay</w:t>
      </w:r>
    </w:p>
    <w:p w14:paraId="456CF08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</w:t>
      </w:r>
      <w:proofErr w:type="gramEnd"/>
      <w:r w:rsidRPr="00942800">
        <w:rPr>
          <w:sz w:val="22"/>
          <w:szCs w:val="22"/>
        </w:rPr>
        <w:t xml:space="preserve"> the hospital; and transfusion reactions) or in the subgroup analyses.</w:t>
      </w:r>
    </w:p>
    <w:p w14:paraId="7F549F3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 xml:space="preserve">: Transfusion of fresh red cells, as compared with standard-issue red </w:t>
      </w:r>
    </w:p>
    <w:p w14:paraId="6C6E07C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cells</w:t>
      </w:r>
      <w:proofErr w:type="gramEnd"/>
      <w:r w:rsidRPr="00942800">
        <w:rPr>
          <w:sz w:val="22"/>
          <w:szCs w:val="22"/>
        </w:rPr>
        <w:t xml:space="preserve">, did not decrease the 90-day mortality among critically ill adults. </w:t>
      </w:r>
    </w:p>
    <w:p w14:paraId="542E547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106AF8A1" w14:textId="77777777" w:rsidR="00523187" w:rsidRPr="00942800" w:rsidRDefault="00523187" w:rsidP="00942800">
      <w:pPr>
        <w:ind w:left="360"/>
        <w:jc w:val="both"/>
        <w:rPr>
          <w:sz w:val="22"/>
          <w:szCs w:val="22"/>
        </w:rPr>
      </w:pPr>
    </w:p>
    <w:p w14:paraId="72D0F015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Apr 2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(14):1312-23. </w:t>
      </w:r>
    </w:p>
    <w:p w14:paraId="54974D4A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Antibiotic treatment strategies for community-acquired pneumonia in adults.</w:t>
      </w:r>
      <w:proofErr w:type="gramEnd"/>
    </w:p>
    <w:p w14:paraId="4B7CECD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1297EA73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The choice of empirical antibiotic treatment for patients with</w:t>
      </w:r>
    </w:p>
    <w:p w14:paraId="690A038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clinically</w:t>
      </w:r>
      <w:proofErr w:type="gramEnd"/>
      <w:r w:rsidRPr="00942800">
        <w:rPr>
          <w:sz w:val="22"/>
          <w:szCs w:val="22"/>
        </w:rPr>
        <w:t xml:space="preserve"> suspected community-acquired pneumonia (CAP) who are admitted to</w:t>
      </w:r>
    </w:p>
    <w:p w14:paraId="40367CB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non</w:t>
      </w:r>
      <w:proofErr w:type="gramEnd"/>
      <w:r w:rsidRPr="00942800">
        <w:rPr>
          <w:sz w:val="22"/>
          <w:szCs w:val="22"/>
        </w:rPr>
        <w:t>-intensive care unit (ICU) hospital wards is complicated by the limited</w:t>
      </w:r>
    </w:p>
    <w:p w14:paraId="055BE33C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availability</w:t>
      </w:r>
      <w:proofErr w:type="gramEnd"/>
      <w:r w:rsidRPr="00942800">
        <w:rPr>
          <w:sz w:val="22"/>
          <w:szCs w:val="22"/>
        </w:rPr>
        <w:t xml:space="preserve"> of evidence. We compared strategies of empirical treatment (allowing</w:t>
      </w:r>
    </w:p>
    <w:p w14:paraId="31292B5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deviations</w:t>
      </w:r>
      <w:proofErr w:type="gramEnd"/>
      <w:r w:rsidRPr="00942800">
        <w:rPr>
          <w:sz w:val="22"/>
          <w:szCs w:val="22"/>
        </w:rPr>
        <w:t xml:space="preserve"> for medical reasons) with beta-lactam </w:t>
      </w:r>
      <w:proofErr w:type="spellStart"/>
      <w:r w:rsidRPr="00942800">
        <w:rPr>
          <w:sz w:val="22"/>
          <w:szCs w:val="22"/>
        </w:rPr>
        <w:t>monotherapy</w:t>
      </w:r>
      <w:proofErr w:type="spellEnd"/>
      <w:r w:rsidRPr="00942800">
        <w:rPr>
          <w:sz w:val="22"/>
          <w:szCs w:val="22"/>
        </w:rPr>
        <w:t>,</w:t>
      </w:r>
    </w:p>
    <w:p w14:paraId="1370B1C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beta</w:t>
      </w:r>
      <w:proofErr w:type="gramEnd"/>
      <w:r w:rsidRPr="00942800">
        <w:rPr>
          <w:sz w:val="22"/>
          <w:szCs w:val="22"/>
        </w:rPr>
        <w:t xml:space="preserve">-lactam-macrolide combination therapy, or </w:t>
      </w:r>
      <w:proofErr w:type="spellStart"/>
      <w:r w:rsidRPr="00942800">
        <w:rPr>
          <w:sz w:val="22"/>
          <w:szCs w:val="22"/>
        </w:rPr>
        <w:t>fluoroquinolone</w:t>
      </w:r>
      <w:proofErr w:type="spellEnd"/>
      <w:r w:rsidRPr="00942800">
        <w:rPr>
          <w:sz w:val="22"/>
          <w:szCs w:val="22"/>
        </w:rPr>
        <w:t xml:space="preserve"> </w:t>
      </w:r>
      <w:proofErr w:type="spellStart"/>
      <w:r w:rsidRPr="00942800">
        <w:rPr>
          <w:sz w:val="22"/>
          <w:szCs w:val="22"/>
        </w:rPr>
        <w:t>monotherapy</w:t>
      </w:r>
      <w:proofErr w:type="spellEnd"/>
      <w:r w:rsidRPr="00942800">
        <w:rPr>
          <w:sz w:val="22"/>
          <w:szCs w:val="22"/>
        </w:rPr>
        <w:t>.</w:t>
      </w:r>
    </w:p>
    <w:p w14:paraId="6561CF5A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In a cluster-randomized, crossover trial with strategies rotated in</w:t>
      </w:r>
    </w:p>
    <w:p w14:paraId="745C8D4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4-month periods, we tested the </w:t>
      </w:r>
      <w:proofErr w:type="spellStart"/>
      <w:r w:rsidRPr="00942800">
        <w:rPr>
          <w:sz w:val="22"/>
          <w:szCs w:val="22"/>
        </w:rPr>
        <w:t>noninferiority</w:t>
      </w:r>
      <w:proofErr w:type="spellEnd"/>
      <w:r w:rsidRPr="00942800">
        <w:rPr>
          <w:sz w:val="22"/>
          <w:szCs w:val="22"/>
        </w:rPr>
        <w:t xml:space="preserve"> of the beta-lactam strategy to the </w:t>
      </w:r>
    </w:p>
    <w:p w14:paraId="1DA4D7F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beta</w:t>
      </w:r>
      <w:proofErr w:type="gramEnd"/>
      <w:r w:rsidRPr="00942800">
        <w:rPr>
          <w:sz w:val="22"/>
          <w:szCs w:val="22"/>
        </w:rPr>
        <w:t xml:space="preserve">-lactam-macrolide and </w:t>
      </w:r>
      <w:proofErr w:type="spellStart"/>
      <w:r w:rsidRPr="00942800">
        <w:rPr>
          <w:sz w:val="22"/>
          <w:szCs w:val="22"/>
        </w:rPr>
        <w:t>fluoroquinolone</w:t>
      </w:r>
      <w:proofErr w:type="spellEnd"/>
      <w:r w:rsidRPr="00942800">
        <w:rPr>
          <w:sz w:val="22"/>
          <w:szCs w:val="22"/>
        </w:rPr>
        <w:t xml:space="preserve"> strategies with respect to 90-day</w:t>
      </w:r>
    </w:p>
    <w:p w14:paraId="57FE5CF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mortality</w:t>
      </w:r>
      <w:proofErr w:type="gramEnd"/>
      <w:r w:rsidRPr="00942800">
        <w:rPr>
          <w:sz w:val="22"/>
          <w:szCs w:val="22"/>
        </w:rPr>
        <w:t xml:space="preserve">, in an intention-to-treat analysis, using a </w:t>
      </w:r>
      <w:proofErr w:type="spellStart"/>
      <w:r w:rsidRPr="00942800">
        <w:rPr>
          <w:sz w:val="22"/>
          <w:szCs w:val="22"/>
        </w:rPr>
        <w:t>noninferiority</w:t>
      </w:r>
      <w:proofErr w:type="spellEnd"/>
      <w:r w:rsidRPr="00942800">
        <w:rPr>
          <w:sz w:val="22"/>
          <w:szCs w:val="22"/>
        </w:rPr>
        <w:t xml:space="preserve"> margin of 3 </w:t>
      </w:r>
    </w:p>
    <w:p w14:paraId="54419D6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percentage</w:t>
      </w:r>
      <w:proofErr w:type="gramEnd"/>
      <w:r w:rsidRPr="00942800">
        <w:rPr>
          <w:sz w:val="22"/>
          <w:szCs w:val="22"/>
        </w:rPr>
        <w:t xml:space="preserve"> points and a two-sided 90% confidence interval.</w:t>
      </w:r>
    </w:p>
    <w:p w14:paraId="7440C6F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A total of 656 patients were included during the beta-lactam strategy</w:t>
      </w:r>
    </w:p>
    <w:p w14:paraId="741EF62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periods</w:t>
      </w:r>
      <w:proofErr w:type="gramEnd"/>
      <w:r w:rsidRPr="00942800">
        <w:rPr>
          <w:sz w:val="22"/>
          <w:szCs w:val="22"/>
        </w:rPr>
        <w:t>, 739 during the beta-lactam-macrolide strategy periods, and 888 during</w:t>
      </w:r>
    </w:p>
    <w:p w14:paraId="62D64E5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</w:t>
      </w:r>
      <w:proofErr w:type="gramEnd"/>
      <w:r w:rsidRPr="00942800">
        <w:rPr>
          <w:sz w:val="22"/>
          <w:szCs w:val="22"/>
        </w:rPr>
        <w:t xml:space="preserve"> </w:t>
      </w:r>
      <w:proofErr w:type="spellStart"/>
      <w:r w:rsidRPr="00942800">
        <w:rPr>
          <w:sz w:val="22"/>
          <w:szCs w:val="22"/>
        </w:rPr>
        <w:t>fluoroquinolone</w:t>
      </w:r>
      <w:proofErr w:type="spellEnd"/>
      <w:r w:rsidRPr="00942800">
        <w:rPr>
          <w:sz w:val="22"/>
          <w:szCs w:val="22"/>
        </w:rPr>
        <w:t xml:space="preserve"> strategy periods, with rates of adherence to the strategy of </w:t>
      </w:r>
    </w:p>
    <w:p w14:paraId="528882E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93.0%, 88.0%, and 92.7%, respectively. The median age of the patients was 70</w:t>
      </w:r>
    </w:p>
    <w:p w14:paraId="5A119D5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years</w:t>
      </w:r>
      <w:proofErr w:type="gramEnd"/>
      <w:r w:rsidRPr="00942800">
        <w:rPr>
          <w:sz w:val="22"/>
          <w:szCs w:val="22"/>
        </w:rPr>
        <w:t>. The crude 90-day mortality was 9.0% (59 patients), 11.1% (82 patients),</w:t>
      </w:r>
    </w:p>
    <w:p w14:paraId="70CE2E3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and</w:t>
      </w:r>
      <w:proofErr w:type="gramEnd"/>
      <w:r w:rsidRPr="00942800">
        <w:rPr>
          <w:sz w:val="22"/>
          <w:szCs w:val="22"/>
        </w:rPr>
        <w:t xml:space="preserve"> 8.8% (78 patients), respectively, during these strategy periods. In the</w:t>
      </w:r>
    </w:p>
    <w:p w14:paraId="30D0718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intention</w:t>
      </w:r>
      <w:proofErr w:type="gramEnd"/>
      <w:r w:rsidRPr="00942800">
        <w:rPr>
          <w:sz w:val="22"/>
          <w:szCs w:val="22"/>
        </w:rPr>
        <w:t>-to-treat analysis, the risk of death was higher by 1.9 percentage</w:t>
      </w:r>
    </w:p>
    <w:p w14:paraId="47A0886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points</w:t>
      </w:r>
      <w:proofErr w:type="gramEnd"/>
      <w:r w:rsidRPr="00942800">
        <w:rPr>
          <w:sz w:val="22"/>
          <w:szCs w:val="22"/>
        </w:rPr>
        <w:t xml:space="preserve"> (90% confidence interval [CI], -0.6 to 4.4) with the beta-lactam-macrolide</w:t>
      </w:r>
    </w:p>
    <w:p w14:paraId="749CFBD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strategy</w:t>
      </w:r>
      <w:proofErr w:type="gramEnd"/>
      <w:r w:rsidRPr="00942800">
        <w:rPr>
          <w:sz w:val="22"/>
          <w:szCs w:val="22"/>
        </w:rPr>
        <w:t xml:space="preserve"> than with the beta-lactam strategy and lower by 0.6 percentage points</w:t>
      </w:r>
    </w:p>
    <w:p w14:paraId="4576DBB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(90% CI, -2.8 to 1.9) with the </w:t>
      </w:r>
      <w:proofErr w:type="spellStart"/>
      <w:r w:rsidRPr="00942800">
        <w:rPr>
          <w:sz w:val="22"/>
          <w:szCs w:val="22"/>
        </w:rPr>
        <w:t>fluoroquinolone</w:t>
      </w:r>
      <w:proofErr w:type="spellEnd"/>
      <w:r w:rsidRPr="00942800">
        <w:rPr>
          <w:sz w:val="22"/>
          <w:szCs w:val="22"/>
        </w:rPr>
        <w:t xml:space="preserve"> strategy than with the beta-lactam</w:t>
      </w:r>
    </w:p>
    <w:p w14:paraId="7BD90A7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strategy</w:t>
      </w:r>
      <w:proofErr w:type="gramEnd"/>
      <w:r w:rsidRPr="00942800">
        <w:rPr>
          <w:sz w:val="22"/>
          <w:szCs w:val="22"/>
        </w:rPr>
        <w:t xml:space="preserve">. These results indicated </w:t>
      </w:r>
      <w:proofErr w:type="spellStart"/>
      <w:r w:rsidRPr="00942800">
        <w:rPr>
          <w:sz w:val="22"/>
          <w:szCs w:val="22"/>
        </w:rPr>
        <w:t>noninferiority</w:t>
      </w:r>
      <w:proofErr w:type="spellEnd"/>
      <w:r w:rsidRPr="00942800">
        <w:rPr>
          <w:sz w:val="22"/>
          <w:szCs w:val="22"/>
        </w:rPr>
        <w:t xml:space="preserve"> of the beta-lactam strategy. The</w:t>
      </w:r>
    </w:p>
    <w:p w14:paraId="5073A6D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median</w:t>
      </w:r>
      <w:proofErr w:type="gramEnd"/>
      <w:r w:rsidRPr="00942800">
        <w:rPr>
          <w:sz w:val="22"/>
          <w:szCs w:val="22"/>
        </w:rPr>
        <w:t xml:space="preserve"> length of hospital stay was 6 days for all strategies, and the median time</w:t>
      </w:r>
    </w:p>
    <w:p w14:paraId="7FD53D2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to</w:t>
      </w:r>
      <w:proofErr w:type="gramEnd"/>
      <w:r w:rsidRPr="00942800">
        <w:rPr>
          <w:sz w:val="22"/>
          <w:szCs w:val="22"/>
        </w:rPr>
        <w:t xml:space="preserve"> starting oral treatment was 3 days (interquartile range, 0 to 4) with the</w:t>
      </w:r>
    </w:p>
    <w:p w14:paraId="32971AD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spellStart"/>
      <w:proofErr w:type="gramStart"/>
      <w:r w:rsidRPr="00942800">
        <w:rPr>
          <w:sz w:val="22"/>
          <w:szCs w:val="22"/>
        </w:rPr>
        <w:t>fluoroquinolone</w:t>
      </w:r>
      <w:proofErr w:type="spellEnd"/>
      <w:proofErr w:type="gramEnd"/>
      <w:r w:rsidRPr="00942800">
        <w:rPr>
          <w:sz w:val="22"/>
          <w:szCs w:val="22"/>
        </w:rPr>
        <w:t xml:space="preserve"> strategy and 4 days (interquartile range, 3 to 5) with the other </w:t>
      </w:r>
    </w:p>
    <w:p w14:paraId="69EC994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strategies</w:t>
      </w:r>
      <w:proofErr w:type="gramEnd"/>
      <w:r w:rsidRPr="00942800">
        <w:rPr>
          <w:sz w:val="22"/>
          <w:szCs w:val="22"/>
        </w:rPr>
        <w:t>.</w:t>
      </w:r>
    </w:p>
    <w:p w14:paraId="34C0C1A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Among patients with clinically suspected CAP admitted to non-ICU</w:t>
      </w:r>
    </w:p>
    <w:p w14:paraId="61D14E5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wards</w:t>
      </w:r>
      <w:proofErr w:type="gramEnd"/>
      <w:r w:rsidRPr="00942800">
        <w:rPr>
          <w:sz w:val="22"/>
          <w:szCs w:val="22"/>
        </w:rPr>
        <w:t xml:space="preserve">, a strategy of preferred empirical treatment with beta-lactam </w:t>
      </w:r>
      <w:proofErr w:type="spellStart"/>
      <w:r w:rsidRPr="00942800">
        <w:rPr>
          <w:sz w:val="22"/>
          <w:szCs w:val="22"/>
        </w:rPr>
        <w:t>monotherapy</w:t>
      </w:r>
      <w:proofErr w:type="spellEnd"/>
    </w:p>
    <w:p w14:paraId="35B6A44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was</w:t>
      </w:r>
      <w:proofErr w:type="gramEnd"/>
      <w:r w:rsidRPr="00942800">
        <w:rPr>
          <w:sz w:val="22"/>
          <w:szCs w:val="22"/>
        </w:rPr>
        <w:t xml:space="preserve"> </w:t>
      </w:r>
      <w:proofErr w:type="spellStart"/>
      <w:r w:rsidRPr="00942800">
        <w:rPr>
          <w:sz w:val="22"/>
          <w:szCs w:val="22"/>
        </w:rPr>
        <w:t>noninferior</w:t>
      </w:r>
      <w:proofErr w:type="spellEnd"/>
      <w:r w:rsidRPr="00942800">
        <w:rPr>
          <w:sz w:val="22"/>
          <w:szCs w:val="22"/>
        </w:rPr>
        <w:t xml:space="preserve"> to strategies with a beta-lactam-macrolide combination or</w:t>
      </w:r>
    </w:p>
    <w:p w14:paraId="3AC87D9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spellStart"/>
      <w:proofErr w:type="gramStart"/>
      <w:r w:rsidRPr="00942800">
        <w:rPr>
          <w:sz w:val="22"/>
          <w:szCs w:val="22"/>
        </w:rPr>
        <w:t>fluoroquinolone</w:t>
      </w:r>
      <w:proofErr w:type="spellEnd"/>
      <w:proofErr w:type="gramEnd"/>
      <w:r w:rsidRPr="00942800">
        <w:rPr>
          <w:sz w:val="22"/>
          <w:szCs w:val="22"/>
        </w:rPr>
        <w:t xml:space="preserve"> </w:t>
      </w:r>
      <w:proofErr w:type="spellStart"/>
      <w:r w:rsidRPr="00942800">
        <w:rPr>
          <w:sz w:val="22"/>
          <w:szCs w:val="22"/>
        </w:rPr>
        <w:t>monotherapy</w:t>
      </w:r>
      <w:proofErr w:type="spellEnd"/>
      <w:r w:rsidRPr="00942800">
        <w:rPr>
          <w:sz w:val="22"/>
          <w:szCs w:val="22"/>
        </w:rPr>
        <w:t xml:space="preserve"> with regard to 90-day mortality. </w:t>
      </w:r>
    </w:p>
    <w:p w14:paraId="3886451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1214A71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3D5C1319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Apr 23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>(17):1629-38</w:t>
      </w:r>
    </w:p>
    <w:p w14:paraId="105580D3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Systemic inflammatory response syndrome criteria in defining severe sepsis.</w:t>
      </w:r>
      <w:proofErr w:type="gramEnd"/>
    </w:p>
    <w:p w14:paraId="3B3BD0D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00C82FDD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The consensus definition of severe sepsis requires suspected or</w:t>
      </w:r>
    </w:p>
    <w:p w14:paraId="1AE0DDA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proven</w:t>
      </w:r>
      <w:proofErr w:type="gramEnd"/>
      <w:r w:rsidRPr="00942800">
        <w:rPr>
          <w:sz w:val="22"/>
          <w:szCs w:val="22"/>
        </w:rPr>
        <w:t xml:space="preserve"> infection, organ failure, and signs that meet two or more criteria for the</w:t>
      </w:r>
    </w:p>
    <w:p w14:paraId="3FA3CAC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systemic</w:t>
      </w:r>
      <w:proofErr w:type="gramEnd"/>
      <w:r w:rsidRPr="00942800">
        <w:rPr>
          <w:sz w:val="22"/>
          <w:szCs w:val="22"/>
        </w:rPr>
        <w:t xml:space="preserve"> inflammatory response syndrome (SIRS). We aimed to test the sensitivity,</w:t>
      </w:r>
    </w:p>
    <w:p w14:paraId="09A7E0D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face</w:t>
      </w:r>
      <w:proofErr w:type="gramEnd"/>
      <w:r w:rsidRPr="00942800">
        <w:rPr>
          <w:sz w:val="22"/>
          <w:szCs w:val="22"/>
        </w:rPr>
        <w:t xml:space="preserve"> validity, and construct validity of this approach.</w:t>
      </w:r>
    </w:p>
    <w:p w14:paraId="086A8443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We studied data from patients from 172 intensive care units in Australia</w:t>
      </w:r>
    </w:p>
    <w:p w14:paraId="7960A91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and</w:t>
      </w:r>
      <w:proofErr w:type="gramEnd"/>
      <w:r w:rsidRPr="00942800">
        <w:rPr>
          <w:sz w:val="22"/>
          <w:szCs w:val="22"/>
        </w:rPr>
        <w:t xml:space="preserve"> New Zealand from 2000 through 2013. We identified patients with infection and</w:t>
      </w:r>
    </w:p>
    <w:p w14:paraId="0C44FF9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organ</w:t>
      </w:r>
      <w:proofErr w:type="gramEnd"/>
      <w:r w:rsidRPr="00942800">
        <w:rPr>
          <w:sz w:val="22"/>
          <w:szCs w:val="22"/>
        </w:rPr>
        <w:t xml:space="preserve"> failure and categorized them according to whether they had signs meeting</w:t>
      </w:r>
    </w:p>
    <w:p w14:paraId="4E0E7BC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two</w:t>
      </w:r>
      <w:proofErr w:type="gramEnd"/>
      <w:r w:rsidRPr="00942800">
        <w:rPr>
          <w:sz w:val="22"/>
          <w:szCs w:val="22"/>
        </w:rPr>
        <w:t xml:space="preserve"> or more SIRS criteria (SIRS-positive severe sepsis) or less than two SIRS</w:t>
      </w:r>
    </w:p>
    <w:p w14:paraId="1CB064E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criteria</w:t>
      </w:r>
      <w:proofErr w:type="gramEnd"/>
      <w:r w:rsidRPr="00942800">
        <w:rPr>
          <w:sz w:val="22"/>
          <w:szCs w:val="22"/>
        </w:rPr>
        <w:t xml:space="preserve"> (SIRS-negative severe sepsis). We compared their characteristics and</w:t>
      </w:r>
    </w:p>
    <w:p w14:paraId="361BCE4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outcomes</w:t>
      </w:r>
      <w:proofErr w:type="gramEnd"/>
      <w:r w:rsidRPr="00942800">
        <w:rPr>
          <w:sz w:val="22"/>
          <w:szCs w:val="22"/>
        </w:rPr>
        <w:t xml:space="preserve"> and assessed them for the presence of a step increase in the risk of</w:t>
      </w:r>
    </w:p>
    <w:p w14:paraId="63C65EC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death</w:t>
      </w:r>
      <w:proofErr w:type="gramEnd"/>
      <w:r w:rsidRPr="00942800">
        <w:rPr>
          <w:sz w:val="22"/>
          <w:szCs w:val="22"/>
        </w:rPr>
        <w:t xml:space="preserve"> at a threshold of two SIRS criteria.</w:t>
      </w:r>
    </w:p>
    <w:p w14:paraId="4C2DD27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Of 1,171,797 patients, a total of 109,663 had infection and organ</w:t>
      </w:r>
    </w:p>
    <w:p w14:paraId="14F06D4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failure</w:t>
      </w:r>
      <w:proofErr w:type="gramEnd"/>
      <w:r w:rsidRPr="00942800">
        <w:rPr>
          <w:sz w:val="22"/>
          <w:szCs w:val="22"/>
        </w:rPr>
        <w:t>. Among these, 96,385 patients (87.9%) had SIRS-positive severe sepsis and</w:t>
      </w:r>
    </w:p>
    <w:p w14:paraId="669D50A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13,278 (12.1%) had SIRS-negative severe sepsis. Over a period of 14 years, these </w:t>
      </w:r>
    </w:p>
    <w:p w14:paraId="3C2AF26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groups</w:t>
      </w:r>
      <w:proofErr w:type="gramEnd"/>
      <w:r w:rsidRPr="00942800">
        <w:rPr>
          <w:sz w:val="22"/>
          <w:szCs w:val="22"/>
        </w:rPr>
        <w:t xml:space="preserve"> had similar characteristics and changes in mortality (SIRS-positive group:</w:t>
      </w:r>
    </w:p>
    <w:p w14:paraId="56A3137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from</w:t>
      </w:r>
      <w:proofErr w:type="gramEnd"/>
      <w:r w:rsidRPr="00942800">
        <w:rPr>
          <w:sz w:val="22"/>
          <w:szCs w:val="22"/>
        </w:rPr>
        <w:t xml:space="preserve"> 36.1% [829 of 2296 patients] to 18.3% [2037 of 11,119], P&lt;0.001;</w:t>
      </w:r>
    </w:p>
    <w:p w14:paraId="492DB9B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SIRS-negative group: from 27.7% [100 of 361] to 9.3% [122 of 1315], P&lt;0.001).</w:t>
      </w:r>
    </w:p>
    <w:p w14:paraId="7A3A1E8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Moreover, this pattern remained similar after adjustment for baseline</w:t>
      </w:r>
    </w:p>
    <w:p w14:paraId="22B32A9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characteristics</w:t>
      </w:r>
      <w:proofErr w:type="gramEnd"/>
      <w:r w:rsidRPr="00942800">
        <w:rPr>
          <w:sz w:val="22"/>
          <w:szCs w:val="22"/>
        </w:rPr>
        <w:t xml:space="preserve"> (odds ratio in the SIRS-positive group, 0.96; 95% confidence</w:t>
      </w:r>
    </w:p>
    <w:p w14:paraId="4E74D59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interval</w:t>
      </w:r>
      <w:proofErr w:type="gramEnd"/>
      <w:r w:rsidRPr="00942800">
        <w:rPr>
          <w:sz w:val="22"/>
          <w:szCs w:val="22"/>
        </w:rPr>
        <w:t xml:space="preserve"> [CI], 0.96 to 0.97; odds ratio in the SIRS-negative group, 0.96; 95% CI,</w:t>
      </w:r>
    </w:p>
    <w:p w14:paraId="7333D92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0.94 to 0.98; P=0.12 for between-group difference). In the adjusted analysis,</w:t>
      </w:r>
    </w:p>
    <w:p w14:paraId="271F77D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mortality</w:t>
      </w:r>
      <w:proofErr w:type="gramEnd"/>
      <w:r w:rsidRPr="00942800">
        <w:rPr>
          <w:sz w:val="22"/>
          <w:szCs w:val="22"/>
        </w:rPr>
        <w:t xml:space="preserve"> increased linearly with each additional SIRS criterion (odds ratio for </w:t>
      </w:r>
    </w:p>
    <w:p w14:paraId="7D44C9D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each</w:t>
      </w:r>
      <w:proofErr w:type="gramEnd"/>
      <w:r w:rsidRPr="00942800">
        <w:rPr>
          <w:sz w:val="22"/>
          <w:szCs w:val="22"/>
        </w:rPr>
        <w:t xml:space="preserve"> additional criterion, 1.13; 95% CI, 1.11 to 1.15; P&lt;0.001) without any</w:t>
      </w:r>
    </w:p>
    <w:p w14:paraId="52FF53E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transitional</w:t>
      </w:r>
      <w:proofErr w:type="gramEnd"/>
      <w:r w:rsidRPr="00942800">
        <w:rPr>
          <w:sz w:val="22"/>
          <w:szCs w:val="22"/>
        </w:rPr>
        <w:t xml:space="preserve"> increase in risk at a threshold of two SIRS criteria.</w:t>
      </w:r>
    </w:p>
    <w:p w14:paraId="2842C43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The need for two or more SIRS criteria to define severe sepsis</w:t>
      </w:r>
    </w:p>
    <w:p w14:paraId="246E897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excluded</w:t>
      </w:r>
      <w:proofErr w:type="gramEnd"/>
      <w:r w:rsidRPr="00942800">
        <w:rPr>
          <w:sz w:val="22"/>
          <w:szCs w:val="22"/>
        </w:rPr>
        <w:t xml:space="preserve"> one in eight otherwise similar patients with infection, organ failure,</w:t>
      </w:r>
    </w:p>
    <w:p w14:paraId="3F9D3E8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and</w:t>
      </w:r>
      <w:proofErr w:type="gramEnd"/>
      <w:r w:rsidRPr="00942800">
        <w:rPr>
          <w:sz w:val="22"/>
          <w:szCs w:val="22"/>
        </w:rPr>
        <w:t xml:space="preserve"> substantial mortality and failed to define a transition point in the risk of </w:t>
      </w:r>
    </w:p>
    <w:p w14:paraId="0E748AC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death</w:t>
      </w:r>
      <w:proofErr w:type="gramEnd"/>
      <w:r w:rsidRPr="00942800">
        <w:rPr>
          <w:sz w:val="22"/>
          <w:szCs w:val="22"/>
        </w:rPr>
        <w:t xml:space="preserve">. </w:t>
      </w:r>
    </w:p>
    <w:p w14:paraId="27FC9D9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213613D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32A3766C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Apr 2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(14):1301-11. </w:t>
      </w:r>
    </w:p>
    <w:p w14:paraId="4402CEDF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proofErr w:type="gramStart"/>
      <w:r w:rsidRPr="00942800">
        <w:rPr>
          <w:b/>
          <w:sz w:val="22"/>
          <w:szCs w:val="22"/>
        </w:rPr>
        <w:t>Trial of early, goal-directed resuscitation for septic shock.</w:t>
      </w:r>
      <w:proofErr w:type="gramEnd"/>
    </w:p>
    <w:p w14:paraId="3AC71F59" w14:textId="77777777" w:rsidR="00523187" w:rsidRPr="00942800" w:rsidRDefault="00523187" w:rsidP="00942800">
      <w:pPr>
        <w:ind w:left="360"/>
        <w:jc w:val="both"/>
        <w:rPr>
          <w:b/>
          <w:sz w:val="22"/>
          <w:szCs w:val="22"/>
        </w:rPr>
      </w:pPr>
      <w:r w:rsidRPr="00942800">
        <w:rPr>
          <w:b/>
          <w:sz w:val="22"/>
          <w:szCs w:val="22"/>
        </w:rPr>
        <w:t>(PROMISE)</w:t>
      </w:r>
    </w:p>
    <w:p w14:paraId="040A671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1E22657B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Early, goal-directed therapy (EGDT) is recommended in international</w:t>
      </w:r>
    </w:p>
    <w:p w14:paraId="289BDE0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guidelines</w:t>
      </w:r>
      <w:proofErr w:type="gramEnd"/>
      <w:r w:rsidRPr="00942800">
        <w:rPr>
          <w:sz w:val="22"/>
          <w:szCs w:val="22"/>
        </w:rPr>
        <w:t xml:space="preserve"> for the resuscitation of patients presenting with early septic shock. </w:t>
      </w:r>
    </w:p>
    <w:p w14:paraId="7EA16AD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However, adoption has been limited, and uncertainty about its effectiveness</w:t>
      </w:r>
    </w:p>
    <w:p w14:paraId="118B973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remains</w:t>
      </w:r>
      <w:proofErr w:type="gramEnd"/>
      <w:r w:rsidRPr="00942800">
        <w:rPr>
          <w:sz w:val="22"/>
          <w:szCs w:val="22"/>
        </w:rPr>
        <w:t>.</w:t>
      </w:r>
    </w:p>
    <w:p w14:paraId="3334D0F4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We conducted a pragmatic randomized trial with an integrated</w:t>
      </w:r>
    </w:p>
    <w:p w14:paraId="0C40EE6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cost</w:t>
      </w:r>
      <w:proofErr w:type="gramEnd"/>
      <w:r w:rsidRPr="00942800">
        <w:rPr>
          <w:sz w:val="22"/>
          <w:szCs w:val="22"/>
        </w:rPr>
        <w:t>-effectiveness analysis in 56 hospitals in England. Patients were randomly</w:t>
      </w:r>
    </w:p>
    <w:p w14:paraId="3207472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assigned</w:t>
      </w:r>
      <w:proofErr w:type="gramEnd"/>
      <w:r w:rsidRPr="00942800">
        <w:rPr>
          <w:sz w:val="22"/>
          <w:szCs w:val="22"/>
        </w:rPr>
        <w:t xml:space="preserve"> to receive either EGDT (a 6-hour resuscitation protocol) or usual care. </w:t>
      </w:r>
    </w:p>
    <w:p w14:paraId="5C426E0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The primary clinical outcome was all-cause mortality at 90 days.</w:t>
      </w:r>
    </w:p>
    <w:p w14:paraId="7B84C75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We enrolled 1260 patients, with 630 assigned to EGDT and 630 to usual</w:t>
      </w:r>
    </w:p>
    <w:p w14:paraId="2FE0D7B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care</w:t>
      </w:r>
      <w:proofErr w:type="gramEnd"/>
      <w:r w:rsidRPr="00942800">
        <w:rPr>
          <w:sz w:val="22"/>
          <w:szCs w:val="22"/>
        </w:rPr>
        <w:t>. By 90 days, 184 of 623 patients (29.5%) in the EGDT group and 181 of 620</w:t>
      </w:r>
    </w:p>
    <w:p w14:paraId="5FC01916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patients</w:t>
      </w:r>
      <w:proofErr w:type="gramEnd"/>
      <w:r w:rsidRPr="00942800">
        <w:rPr>
          <w:sz w:val="22"/>
          <w:szCs w:val="22"/>
        </w:rPr>
        <w:t xml:space="preserve"> (29.2%) in the usual-care group had died (relative risk in the EGDT</w:t>
      </w:r>
    </w:p>
    <w:p w14:paraId="678F552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group</w:t>
      </w:r>
      <w:proofErr w:type="gramEnd"/>
      <w:r w:rsidRPr="00942800">
        <w:rPr>
          <w:sz w:val="22"/>
          <w:szCs w:val="22"/>
        </w:rPr>
        <w:t>, 1.01; 95% confidence interval [CI], 0.85 to 1.20; P=0.90), for an absolute</w:t>
      </w:r>
    </w:p>
    <w:p w14:paraId="00C1C1A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risk</w:t>
      </w:r>
      <w:proofErr w:type="gramEnd"/>
      <w:r w:rsidRPr="00942800">
        <w:rPr>
          <w:sz w:val="22"/>
          <w:szCs w:val="22"/>
        </w:rPr>
        <w:t xml:space="preserve"> reduction in the EGDT group of -0.3 percentage points (95% CI, -5.4 to 4.7).</w:t>
      </w:r>
    </w:p>
    <w:p w14:paraId="242F2EB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Increased treatment intensity in the EGDT group was indicated by increased use of</w:t>
      </w:r>
    </w:p>
    <w:p w14:paraId="4120C0E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intravenous</w:t>
      </w:r>
      <w:proofErr w:type="gramEnd"/>
      <w:r w:rsidRPr="00942800">
        <w:rPr>
          <w:sz w:val="22"/>
          <w:szCs w:val="22"/>
        </w:rPr>
        <w:t xml:space="preserve"> fluids, vasoactive drugs, and red-cell transfusions and reflected by </w:t>
      </w:r>
    </w:p>
    <w:p w14:paraId="20965F9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significantly</w:t>
      </w:r>
      <w:proofErr w:type="gramEnd"/>
      <w:r w:rsidRPr="00942800">
        <w:rPr>
          <w:sz w:val="22"/>
          <w:szCs w:val="22"/>
        </w:rPr>
        <w:t xml:space="preserve"> worse organ-failure scores, more days receiving advanced</w:t>
      </w:r>
    </w:p>
    <w:p w14:paraId="43DED07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cardiovascular</w:t>
      </w:r>
      <w:proofErr w:type="gramEnd"/>
      <w:r w:rsidRPr="00942800">
        <w:rPr>
          <w:sz w:val="22"/>
          <w:szCs w:val="22"/>
        </w:rPr>
        <w:t xml:space="preserve"> support, and longer stays in the intensive care unit. There were</w:t>
      </w:r>
    </w:p>
    <w:p w14:paraId="55F05B8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no</w:t>
      </w:r>
      <w:proofErr w:type="gramEnd"/>
      <w:r w:rsidRPr="00942800">
        <w:rPr>
          <w:sz w:val="22"/>
          <w:szCs w:val="22"/>
        </w:rPr>
        <w:t xml:space="preserve"> significant differences in any other secondary outcomes, including</w:t>
      </w:r>
    </w:p>
    <w:p w14:paraId="00F4B61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health</w:t>
      </w:r>
      <w:proofErr w:type="gramEnd"/>
      <w:r w:rsidRPr="00942800">
        <w:rPr>
          <w:sz w:val="22"/>
          <w:szCs w:val="22"/>
        </w:rPr>
        <w:t>-related quality of life, or in rates of serious adverse events. On</w:t>
      </w:r>
    </w:p>
    <w:p w14:paraId="46F98A7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average</w:t>
      </w:r>
      <w:proofErr w:type="gramEnd"/>
      <w:r w:rsidRPr="00942800">
        <w:rPr>
          <w:sz w:val="22"/>
          <w:szCs w:val="22"/>
        </w:rPr>
        <w:t>, EGDT increased costs, and the probability that it was cost-effective was</w:t>
      </w:r>
    </w:p>
    <w:p w14:paraId="6E41940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below</w:t>
      </w:r>
      <w:proofErr w:type="gramEnd"/>
      <w:r w:rsidRPr="00942800">
        <w:rPr>
          <w:sz w:val="22"/>
          <w:szCs w:val="22"/>
        </w:rPr>
        <w:t xml:space="preserve"> 20%.</w:t>
      </w:r>
    </w:p>
    <w:p w14:paraId="64D7C61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In patients with septic shock who were identified early and received</w:t>
      </w:r>
    </w:p>
    <w:p w14:paraId="44D6AD5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intravenous</w:t>
      </w:r>
      <w:proofErr w:type="gramEnd"/>
      <w:r w:rsidRPr="00942800">
        <w:rPr>
          <w:sz w:val="22"/>
          <w:szCs w:val="22"/>
        </w:rPr>
        <w:t xml:space="preserve"> antibiotics and adequate fluid resuscitation, hemodynamic management </w:t>
      </w:r>
    </w:p>
    <w:p w14:paraId="7AC454F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according</w:t>
      </w:r>
      <w:proofErr w:type="gramEnd"/>
      <w:r w:rsidRPr="00942800">
        <w:rPr>
          <w:sz w:val="22"/>
          <w:szCs w:val="22"/>
        </w:rPr>
        <w:t xml:space="preserve"> to a strict EGDT protocol did not lead to an improvement in outcome.</w:t>
      </w:r>
    </w:p>
    <w:p w14:paraId="58FC85AF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6AA17173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</w:p>
    <w:p w14:paraId="4E8A31AD" w14:textId="77777777" w:rsidR="001008C6" w:rsidRPr="00942800" w:rsidRDefault="001008C6" w:rsidP="00942800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942800">
        <w:rPr>
          <w:sz w:val="22"/>
          <w:szCs w:val="22"/>
        </w:rPr>
        <w:t xml:space="preserve">N </w:t>
      </w:r>
      <w:proofErr w:type="spellStart"/>
      <w:r w:rsidRPr="00942800">
        <w:rPr>
          <w:sz w:val="22"/>
          <w:szCs w:val="22"/>
        </w:rPr>
        <w:t>Engl</w:t>
      </w:r>
      <w:proofErr w:type="spellEnd"/>
      <w:r w:rsidRPr="00942800">
        <w:rPr>
          <w:sz w:val="22"/>
          <w:szCs w:val="22"/>
        </w:rPr>
        <w:t xml:space="preserve"> J Med. 2015 Feb 19</w:t>
      </w:r>
      <w:proofErr w:type="gramStart"/>
      <w:r w:rsidRPr="00942800">
        <w:rPr>
          <w:sz w:val="22"/>
          <w:szCs w:val="22"/>
        </w:rPr>
        <w:t>;372</w:t>
      </w:r>
      <w:proofErr w:type="gramEnd"/>
      <w:r w:rsidRPr="00942800">
        <w:rPr>
          <w:sz w:val="22"/>
          <w:szCs w:val="22"/>
        </w:rPr>
        <w:t xml:space="preserve">(8):747-55. </w:t>
      </w:r>
    </w:p>
    <w:p w14:paraId="26A09F14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  <w:r w:rsidRPr="00942800">
        <w:rPr>
          <w:b/>
          <w:sz w:val="22"/>
          <w:szCs w:val="22"/>
        </w:rPr>
        <w:t>Driving pressure and survival in the acute respiratory distress syndrome.</w:t>
      </w:r>
    </w:p>
    <w:p w14:paraId="7B0384F3" w14:textId="77777777" w:rsidR="001008C6" w:rsidRPr="00942800" w:rsidRDefault="001008C6" w:rsidP="00942800">
      <w:pPr>
        <w:ind w:left="360"/>
        <w:jc w:val="both"/>
        <w:rPr>
          <w:b/>
          <w:sz w:val="22"/>
          <w:szCs w:val="22"/>
        </w:rPr>
      </w:pPr>
    </w:p>
    <w:p w14:paraId="51105171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BACKGROUND</w:t>
      </w:r>
      <w:r w:rsidR="001008C6" w:rsidRPr="00942800">
        <w:rPr>
          <w:sz w:val="22"/>
          <w:szCs w:val="22"/>
        </w:rPr>
        <w:t>: Mechanical-ventilation strategies that use lower end-inspiratory</w:t>
      </w:r>
    </w:p>
    <w:p w14:paraId="7A113CE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</w:t>
      </w:r>
      <w:proofErr w:type="gramStart"/>
      <w:r w:rsidRPr="00942800">
        <w:rPr>
          <w:sz w:val="22"/>
          <w:szCs w:val="22"/>
        </w:rPr>
        <w:t>plateau</w:t>
      </w:r>
      <w:proofErr w:type="gramEnd"/>
      <w:r w:rsidRPr="00942800">
        <w:rPr>
          <w:sz w:val="22"/>
          <w:szCs w:val="22"/>
        </w:rPr>
        <w:t>) airway pressures, lower tidal volumes (VT), and higher positive</w:t>
      </w:r>
    </w:p>
    <w:p w14:paraId="025B715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end</w:t>
      </w:r>
      <w:proofErr w:type="gramEnd"/>
      <w:r w:rsidRPr="00942800">
        <w:rPr>
          <w:sz w:val="22"/>
          <w:szCs w:val="22"/>
        </w:rPr>
        <w:t xml:space="preserve">-expiratory pressures (PEEPs) can improve survival in patients with the acute </w:t>
      </w:r>
    </w:p>
    <w:p w14:paraId="0918129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respiratory</w:t>
      </w:r>
      <w:proofErr w:type="gramEnd"/>
      <w:r w:rsidRPr="00942800">
        <w:rPr>
          <w:sz w:val="22"/>
          <w:szCs w:val="22"/>
        </w:rPr>
        <w:t xml:space="preserve"> distress syndrome (ARDS), but the relative importance of each of</w:t>
      </w:r>
    </w:p>
    <w:p w14:paraId="7B8EDC1D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these</w:t>
      </w:r>
      <w:proofErr w:type="gramEnd"/>
      <w:r w:rsidRPr="00942800">
        <w:rPr>
          <w:sz w:val="22"/>
          <w:szCs w:val="22"/>
        </w:rPr>
        <w:t xml:space="preserve"> components is uncertain. Because respiratory-system compliance (CRS) is</w:t>
      </w:r>
    </w:p>
    <w:p w14:paraId="329F358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strongly</w:t>
      </w:r>
      <w:proofErr w:type="gramEnd"/>
      <w:r w:rsidRPr="00942800">
        <w:rPr>
          <w:sz w:val="22"/>
          <w:szCs w:val="22"/>
        </w:rPr>
        <w:t xml:space="preserve"> related to the volume of aerated remaining functional lung during</w:t>
      </w:r>
    </w:p>
    <w:p w14:paraId="20D4F6BA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disease</w:t>
      </w:r>
      <w:proofErr w:type="gramEnd"/>
      <w:r w:rsidRPr="00942800">
        <w:rPr>
          <w:sz w:val="22"/>
          <w:szCs w:val="22"/>
        </w:rPr>
        <w:t xml:space="preserve"> (termed functional lung size), we hypothesized that driving pressure</w:t>
      </w:r>
    </w:p>
    <w:p w14:paraId="2509F50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(ΔP=VT/CRS), in which VT is intrinsically normalized to functional lung size</w:t>
      </w:r>
    </w:p>
    <w:p w14:paraId="0A09842E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</w:t>
      </w:r>
      <w:proofErr w:type="gramStart"/>
      <w:r w:rsidRPr="00942800">
        <w:rPr>
          <w:sz w:val="22"/>
          <w:szCs w:val="22"/>
        </w:rPr>
        <w:t>instead</w:t>
      </w:r>
      <w:proofErr w:type="gramEnd"/>
      <w:r w:rsidRPr="00942800">
        <w:rPr>
          <w:sz w:val="22"/>
          <w:szCs w:val="22"/>
        </w:rPr>
        <w:t xml:space="preserve"> of predicted lung size in healthy persons), would be an index more</w:t>
      </w:r>
    </w:p>
    <w:p w14:paraId="2A20978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strongly</w:t>
      </w:r>
      <w:proofErr w:type="gramEnd"/>
      <w:r w:rsidRPr="00942800">
        <w:rPr>
          <w:sz w:val="22"/>
          <w:szCs w:val="22"/>
        </w:rPr>
        <w:t xml:space="preserve"> associated with survival than VT or PEEP in patients who are not</w:t>
      </w:r>
    </w:p>
    <w:p w14:paraId="3F60EB9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actively</w:t>
      </w:r>
      <w:proofErr w:type="gramEnd"/>
      <w:r w:rsidRPr="00942800">
        <w:rPr>
          <w:sz w:val="22"/>
          <w:szCs w:val="22"/>
        </w:rPr>
        <w:t xml:space="preserve"> breathing.</w:t>
      </w:r>
    </w:p>
    <w:p w14:paraId="043A840E" w14:textId="77777777" w:rsidR="001008C6" w:rsidRPr="00942800" w:rsidRDefault="009960AB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METHODS</w:t>
      </w:r>
      <w:r w:rsidR="001008C6" w:rsidRPr="00942800">
        <w:rPr>
          <w:sz w:val="22"/>
          <w:szCs w:val="22"/>
        </w:rPr>
        <w:t>: Using a statistical tool known as multilevel mediation analysis to</w:t>
      </w:r>
    </w:p>
    <w:p w14:paraId="53E8C72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analyze</w:t>
      </w:r>
      <w:proofErr w:type="gramEnd"/>
      <w:r w:rsidRPr="00942800">
        <w:rPr>
          <w:sz w:val="22"/>
          <w:szCs w:val="22"/>
        </w:rPr>
        <w:t xml:space="preserve"> individual data from 3562 patients with ARDS enrolled in nine previously </w:t>
      </w:r>
    </w:p>
    <w:p w14:paraId="242D1A9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reported</w:t>
      </w:r>
      <w:proofErr w:type="gramEnd"/>
      <w:r w:rsidRPr="00942800">
        <w:rPr>
          <w:sz w:val="22"/>
          <w:szCs w:val="22"/>
        </w:rPr>
        <w:t xml:space="preserve"> randomized trials, we examined ΔP as an independent variable associated </w:t>
      </w:r>
    </w:p>
    <w:p w14:paraId="7162745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with</w:t>
      </w:r>
      <w:proofErr w:type="gramEnd"/>
      <w:r w:rsidRPr="00942800">
        <w:rPr>
          <w:sz w:val="22"/>
          <w:szCs w:val="22"/>
        </w:rPr>
        <w:t xml:space="preserve"> survival. In the mediation analysis, we estimated the isolated effects of</w:t>
      </w:r>
    </w:p>
    <w:p w14:paraId="6915104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changes</w:t>
      </w:r>
      <w:proofErr w:type="gramEnd"/>
      <w:r w:rsidRPr="00942800">
        <w:rPr>
          <w:sz w:val="22"/>
          <w:szCs w:val="22"/>
        </w:rPr>
        <w:t xml:space="preserve"> in ΔP resulting from randomized ventilator settings while minimizing</w:t>
      </w:r>
    </w:p>
    <w:p w14:paraId="681D7CBB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confounding</w:t>
      </w:r>
      <w:proofErr w:type="gramEnd"/>
      <w:r w:rsidRPr="00942800">
        <w:rPr>
          <w:sz w:val="22"/>
          <w:szCs w:val="22"/>
        </w:rPr>
        <w:t xml:space="preserve"> due to the baseline severity of lung disease.</w:t>
      </w:r>
    </w:p>
    <w:p w14:paraId="4E46FA15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RESULTS</w:t>
      </w:r>
      <w:r w:rsidRPr="00942800">
        <w:rPr>
          <w:sz w:val="22"/>
          <w:szCs w:val="22"/>
        </w:rPr>
        <w:t>: Among ventilation variables, ΔP was most strongly associated with</w:t>
      </w:r>
    </w:p>
    <w:p w14:paraId="13F4E3E7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survival</w:t>
      </w:r>
      <w:proofErr w:type="gramEnd"/>
      <w:r w:rsidRPr="00942800">
        <w:rPr>
          <w:sz w:val="22"/>
          <w:szCs w:val="22"/>
        </w:rPr>
        <w:t>. A 1-SD increment in ΔP (approximately 7 cm of water) was associated</w:t>
      </w:r>
    </w:p>
    <w:p w14:paraId="34D7DA74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with</w:t>
      </w:r>
      <w:proofErr w:type="gramEnd"/>
      <w:r w:rsidRPr="00942800">
        <w:rPr>
          <w:sz w:val="22"/>
          <w:szCs w:val="22"/>
        </w:rPr>
        <w:t xml:space="preserve"> increased mortality (relative risk, 1.41; 95% confidence interval [CI], 1.31</w:t>
      </w:r>
    </w:p>
    <w:p w14:paraId="57E45D3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to</w:t>
      </w:r>
      <w:proofErr w:type="gramEnd"/>
      <w:r w:rsidRPr="00942800">
        <w:rPr>
          <w:sz w:val="22"/>
          <w:szCs w:val="22"/>
        </w:rPr>
        <w:t xml:space="preserve"> 1.51; P&lt;0.001), even in patients receiving "protective" plateau pressures and </w:t>
      </w:r>
    </w:p>
    <w:p w14:paraId="6ED824D2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VT (relative risk, 1.36; 95% CI, 1.17 to 1.58; P&lt;0.001). Individual changes in VT</w:t>
      </w:r>
    </w:p>
    <w:p w14:paraId="75098E70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or</w:t>
      </w:r>
      <w:proofErr w:type="gramEnd"/>
      <w:r w:rsidRPr="00942800">
        <w:rPr>
          <w:sz w:val="22"/>
          <w:szCs w:val="22"/>
        </w:rPr>
        <w:t xml:space="preserve"> PEEP after randomization were not independently associated with survival; they</w:t>
      </w:r>
    </w:p>
    <w:p w14:paraId="0AAA4C2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were</w:t>
      </w:r>
      <w:proofErr w:type="gramEnd"/>
      <w:r w:rsidRPr="00942800">
        <w:rPr>
          <w:sz w:val="22"/>
          <w:szCs w:val="22"/>
        </w:rPr>
        <w:t xml:space="preserve"> associated only if they were among the changes that led to reductions in ΔP </w:t>
      </w:r>
    </w:p>
    <w:p w14:paraId="423882E8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sz w:val="22"/>
          <w:szCs w:val="22"/>
        </w:rPr>
        <w:t>(</w:t>
      </w:r>
      <w:proofErr w:type="gramStart"/>
      <w:r w:rsidRPr="00942800">
        <w:rPr>
          <w:sz w:val="22"/>
          <w:szCs w:val="22"/>
        </w:rPr>
        <w:t>mediation</w:t>
      </w:r>
      <w:proofErr w:type="gramEnd"/>
      <w:r w:rsidRPr="00942800">
        <w:rPr>
          <w:sz w:val="22"/>
          <w:szCs w:val="22"/>
        </w:rPr>
        <w:t xml:space="preserve"> effects of ΔP, P=0.004 and P=0.001, respectively).</w:t>
      </w:r>
    </w:p>
    <w:p w14:paraId="0D02D919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r w:rsidRPr="00942800">
        <w:rPr>
          <w:b/>
          <w:sz w:val="22"/>
          <w:szCs w:val="22"/>
        </w:rPr>
        <w:t>CONCLUSIONS</w:t>
      </w:r>
      <w:r w:rsidRPr="00942800">
        <w:rPr>
          <w:sz w:val="22"/>
          <w:szCs w:val="22"/>
        </w:rPr>
        <w:t>: We found that ΔP was the ventilation variable that best stratified</w:t>
      </w:r>
    </w:p>
    <w:p w14:paraId="414F4D41" w14:textId="77777777" w:rsidR="001008C6" w:rsidRPr="00942800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risk</w:t>
      </w:r>
      <w:proofErr w:type="gramEnd"/>
      <w:r w:rsidRPr="00942800">
        <w:rPr>
          <w:sz w:val="22"/>
          <w:szCs w:val="22"/>
        </w:rPr>
        <w:t>. Decreases in ΔP owing to changes in ventilator settings were strongly</w:t>
      </w:r>
    </w:p>
    <w:p w14:paraId="1A5380CB" w14:textId="77777777" w:rsidR="001008C6" w:rsidRDefault="001008C6" w:rsidP="00942800">
      <w:pPr>
        <w:ind w:left="360"/>
        <w:jc w:val="both"/>
        <w:rPr>
          <w:sz w:val="22"/>
          <w:szCs w:val="22"/>
        </w:rPr>
      </w:pPr>
      <w:proofErr w:type="gramStart"/>
      <w:r w:rsidRPr="00942800">
        <w:rPr>
          <w:sz w:val="22"/>
          <w:szCs w:val="22"/>
        </w:rPr>
        <w:t>associated</w:t>
      </w:r>
      <w:proofErr w:type="gramEnd"/>
      <w:r w:rsidRPr="00942800">
        <w:rPr>
          <w:sz w:val="22"/>
          <w:szCs w:val="22"/>
        </w:rPr>
        <w:t xml:space="preserve"> with increased survival. </w:t>
      </w:r>
    </w:p>
    <w:p w14:paraId="1080BED8" w14:textId="77777777" w:rsidR="00FB1FE2" w:rsidRDefault="00FB1FE2" w:rsidP="00942800">
      <w:pPr>
        <w:ind w:left="360"/>
        <w:jc w:val="both"/>
        <w:rPr>
          <w:sz w:val="22"/>
          <w:szCs w:val="22"/>
        </w:rPr>
      </w:pPr>
    </w:p>
    <w:p w14:paraId="362628CE" w14:textId="77777777" w:rsidR="00FB1FE2" w:rsidRPr="00FB1FE2" w:rsidRDefault="00FB1FE2" w:rsidP="00FB1FE2">
      <w:pPr>
        <w:ind w:left="360"/>
        <w:jc w:val="both"/>
        <w:rPr>
          <w:sz w:val="22"/>
          <w:szCs w:val="22"/>
        </w:rPr>
      </w:pPr>
    </w:p>
    <w:p w14:paraId="70F8337C" w14:textId="77777777" w:rsidR="00FB1FE2" w:rsidRPr="00FB1FE2" w:rsidRDefault="00FB1FE2" w:rsidP="00FB1FE2">
      <w:pPr>
        <w:rPr>
          <w:sz w:val="22"/>
          <w:szCs w:val="22"/>
        </w:rPr>
      </w:pPr>
      <w:r w:rsidRPr="00FB1FE2">
        <w:rPr>
          <w:sz w:val="22"/>
          <w:szCs w:val="22"/>
        </w:rPr>
        <w:t xml:space="preserve">1: Maintenance Intravenous Fluids in Acutely Ill Patients. </w:t>
      </w:r>
    </w:p>
    <w:p w14:paraId="7CDC1547" w14:textId="77777777" w:rsidR="00FB1FE2" w:rsidRPr="00FB1FE2" w:rsidRDefault="00FB1FE2" w:rsidP="00FB1FE2">
      <w:pPr>
        <w:jc w:val="both"/>
        <w:rPr>
          <w:sz w:val="22"/>
          <w:szCs w:val="22"/>
        </w:rPr>
      </w:pPr>
      <w:r w:rsidRPr="00FB1FE2">
        <w:rPr>
          <w:sz w:val="22"/>
          <w:szCs w:val="22"/>
        </w:rPr>
        <w:t>2: Electrolyte and Acid-Base Disturbances in Patients with</w:t>
      </w:r>
      <w:r>
        <w:rPr>
          <w:sz w:val="22"/>
          <w:szCs w:val="22"/>
        </w:rPr>
        <w:t xml:space="preserve"> </w:t>
      </w:r>
      <w:r w:rsidRPr="00FB1FE2">
        <w:rPr>
          <w:sz w:val="22"/>
          <w:szCs w:val="22"/>
        </w:rPr>
        <w:t>Diabetes Mellitus</w:t>
      </w:r>
    </w:p>
    <w:p w14:paraId="2229411A" w14:textId="77777777" w:rsidR="00FB1FE2" w:rsidRPr="00FB1FE2" w:rsidRDefault="00FB1FE2" w:rsidP="00FB1FE2">
      <w:pPr>
        <w:jc w:val="both"/>
        <w:rPr>
          <w:sz w:val="22"/>
          <w:szCs w:val="22"/>
        </w:rPr>
      </w:pPr>
      <w:r w:rsidRPr="00FB1FE2">
        <w:rPr>
          <w:sz w:val="22"/>
          <w:szCs w:val="22"/>
        </w:rPr>
        <w:t xml:space="preserve">3: An Integrated View of Potassium Homeostasis. </w:t>
      </w:r>
    </w:p>
    <w:p w14:paraId="23B3431C" w14:textId="77777777" w:rsidR="00FB1FE2" w:rsidRPr="00FB1FE2" w:rsidRDefault="00FB1FE2" w:rsidP="00FB1FE2">
      <w:pPr>
        <w:jc w:val="both"/>
        <w:rPr>
          <w:sz w:val="22"/>
          <w:szCs w:val="22"/>
        </w:rPr>
      </w:pPr>
      <w:r w:rsidRPr="00FB1FE2">
        <w:rPr>
          <w:sz w:val="22"/>
          <w:szCs w:val="22"/>
        </w:rPr>
        <w:t xml:space="preserve">4: Molecular physiology of water balance. </w:t>
      </w:r>
    </w:p>
    <w:p w14:paraId="2F2259A5" w14:textId="77777777" w:rsidR="00FB1FE2" w:rsidRPr="00FB1FE2" w:rsidRDefault="00FB1FE2" w:rsidP="00FB1FE2">
      <w:pPr>
        <w:jc w:val="both"/>
        <w:rPr>
          <w:sz w:val="22"/>
          <w:szCs w:val="22"/>
        </w:rPr>
      </w:pPr>
      <w:r w:rsidRPr="00FB1FE2">
        <w:rPr>
          <w:sz w:val="22"/>
          <w:szCs w:val="22"/>
        </w:rPr>
        <w:t xml:space="preserve">5: Acid-base problems in diabetic ketoacidosis. </w:t>
      </w:r>
    </w:p>
    <w:p w14:paraId="53D5EBED" w14:textId="77777777" w:rsidR="00FB1FE2" w:rsidRPr="00942800" w:rsidRDefault="00FB1FE2" w:rsidP="00FB1FE2">
      <w:pPr>
        <w:jc w:val="both"/>
        <w:rPr>
          <w:sz w:val="22"/>
          <w:szCs w:val="22"/>
        </w:rPr>
      </w:pPr>
      <w:r w:rsidRPr="00FB1FE2">
        <w:rPr>
          <w:sz w:val="22"/>
          <w:szCs w:val="22"/>
        </w:rPr>
        <w:t>6: Disorders of plasma sodium--causes, consequences, and correction</w:t>
      </w:r>
      <w:bookmarkStart w:id="0" w:name="_GoBack"/>
      <w:bookmarkEnd w:id="0"/>
    </w:p>
    <w:p w14:paraId="50C8CCE5" w14:textId="77777777" w:rsidR="009C411F" w:rsidRPr="00942800" w:rsidRDefault="009C411F" w:rsidP="00942800">
      <w:pPr>
        <w:ind w:left="360"/>
        <w:jc w:val="both"/>
        <w:rPr>
          <w:sz w:val="22"/>
          <w:szCs w:val="22"/>
        </w:rPr>
      </w:pPr>
    </w:p>
    <w:sectPr w:rsidR="009C411F" w:rsidRPr="00942800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50292"/>
    <w:multiLevelType w:val="hybridMultilevel"/>
    <w:tmpl w:val="96B4F344"/>
    <w:lvl w:ilvl="0" w:tplc="2B5EF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C60C0"/>
    <w:multiLevelType w:val="hybridMultilevel"/>
    <w:tmpl w:val="DBFABB16"/>
    <w:lvl w:ilvl="0" w:tplc="2B5EF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C6"/>
    <w:rsid w:val="001008C6"/>
    <w:rsid w:val="002C4D29"/>
    <w:rsid w:val="00437961"/>
    <w:rsid w:val="00523187"/>
    <w:rsid w:val="00942800"/>
    <w:rsid w:val="009960AB"/>
    <w:rsid w:val="009C411F"/>
    <w:rsid w:val="00FB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9430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3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3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3928</Words>
  <Characters>21605</Characters>
  <Application>Microsoft Macintosh Word</Application>
  <DocSecurity>0</DocSecurity>
  <Lines>180</Lines>
  <Paragraphs>50</Paragraphs>
  <ScaleCrop>false</ScaleCrop>
  <Company/>
  <LinksUpToDate>false</LinksUpToDate>
  <CharactersWithSpaces>25483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2017-03-30T00:25:00Z</dcterms:created>
  <dcterms:modified xsi:type="dcterms:W3CDTF">2017-03-30T01:56:00Z</dcterms:modified>
</cp:coreProperties>
</file>