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52197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Intro: Most recent surviving sepsis recommends 7g/dl hemoglobin transfusion threshold to aim for 7-9g/dl but limited data to support and few people following recommendations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Short term TRISS results supported the 7g/dl trigger which showed no significant difference in outcomes at 90 days, use of life support, or ischemic events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Goal: Look at 1 year survival and quality of life for patients of TRISS trial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Results: 99.9% of patient follow-up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 significant difference between populations in regards to survival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 significant difference in QOL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Original TRISS showed no difference, while significantly reducing the amount of patients being transfused and amount of blood transfused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ONLY for septic shock!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Takeaways: More restrictive transfusions in septic shock are safe in both short term and long term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