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A2" w:rsidRDefault="00EB1A18">
      <w:pPr>
        <w:rPr>
          <w:sz w:val="24"/>
          <w:szCs w:val="24"/>
        </w:rPr>
      </w:pP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79A609B1" wp14:editId="71CEB852">
            <wp:simplePos x="0" y="0"/>
            <wp:positionH relativeFrom="margin">
              <wp:align>left</wp:align>
            </wp:positionH>
            <wp:positionV relativeFrom="line">
              <wp:posOffset>85725</wp:posOffset>
            </wp:positionV>
            <wp:extent cx="6120057" cy="61747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174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806A2">
        <w:rPr>
          <w:sz w:val="24"/>
          <w:szCs w:val="24"/>
          <w:u w:val="single"/>
        </w:rPr>
        <w:softHyphen/>
      </w:r>
      <w:r w:rsidR="00A806A2">
        <w:rPr>
          <w:b/>
          <w:sz w:val="24"/>
          <w:szCs w:val="24"/>
        </w:rPr>
        <w:t xml:space="preserve">Objective: </w:t>
      </w:r>
      <w:r w:rsidR="00A806A2">
        <w:rPr>
          <w:sz w:val="24"/>
          <w:szCs w:val="24"/>
        </w:rPr>
        <w:t xml:space="preserve">To evaluate utility of basal cortisol concentrations for the diagnosis of atypical and typical </w:t>
      </w:r>
      <w:proofErr w:type="spellStart"/>
      <w:r w:rsidR="00A806A2">
        <w:rPr>
          <w:sz w:val="24"/>
          <w:szCs w:val="24"/>
        </w:rPr>
        <w:t>hypoadrenocorticism</w:t>
      </w:r>
      <w:proofErr w:type="spellEnd"/>
      <w:r w:rsidR="00A806A2">
        <w:rPr>
          <w:sz w:val="24"/>
          <w:szCs w:val="24"/>
        </w:rPr>
        <w:t xml:space="preserve"> in a large number of dogs</w:t>
      </w:r>
    </w:p>
    <w:p w:rsidR="00A806A2" w:rsidRDefault="00A806A2" w:rsidP="00A806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Has been previously evaluated in limited numbers </w:t>
      </w:r>
      <w:r w:rsidR="007953B2">
        <w:rPr>
          <w:sz w:val="24"/>
          <w:szCs w:val="24"/>
        </w:rPr>
        <w:t xml:space="preserve">(13, 14) </w:t>
      </w:r>
      <w:r>
        <w:rPr>
          <w:sz w:val="24"/>
          <w:szCs w:val="24"/>
        </w:rPr>
        <w:t>of dogs only</w:t>
      </w:r>
      <w:r w:rsidR="007953B2">
        <w:rPr>
          <w:sz w:val="24"/>
          <w:szCs w:val="24"/>
        </w:rPr>
        <w:t>, showing that &lt;55nmol/L (2mcg/</w:t>
      </w:r>
      <w:proofErr w:type="spellStart"/>
      <w:r w:rsidR="007953B2">
        <w:rPr>
          <w:sz w:val="24"/>
          <w:szCs w:val="24"/>
        </w:rPr>
        <w:t>dL</w:t>
      </w:r>
      <w:proofErr w:type="spellEnd"/>
      <w:r w:rsidR="007953B2">
        <w:rPr>
          <w:sz w:val="24"/>
          <w:szCs w:val="24"/>
        </w:rPr>
        <w:t>) is sensitive but not specific</w:t>
      </w:r>
    </w:p>
    <w:p w:rsidR="007953B2" w:rsidRDefault="00A806A2" w:rsidP="00A806A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Method: </w:t>
      </w:r>
      <w:r>
        <w:rPr>
          <w:sz w:val="24"/>
          <w:szCs w:val="24"/>
        </w:rPr>
        <w:t>Retrospective study</w:t>
      </w:r>
    </w:p>
    <w:p w:rsidR="007953B2" w:rsidRDefault="007953B2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dogs at Michigan state that underwent ACTH stim</w:t>
      </w:r>
    </w:p>
    <w:p w:rsidR="007953B2" w:rsidRDefault="007953B2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Excluded if stim was done for suspicion of </w:t>
      </w:r>
      <w:proofErr w:type="spellStart"/>
      <w:r>
        <w:rPr>
          <w:sz w:val="24"/>
          <w:szCs w:val="24"/>
        </w:rPr>
        <w:t>hyperadrenocorticism</w:t>
      </w:r>
      <w:proofErr w:type="spellEnd"/>
      <w:r>
        <w:rPr>
          <w:sz w:val="24"/>
          <w:szCs w:val="24"/>
        </w:rPr>
        <w:t xml:space="preserve">, previously been treated for </w:t>
      </w:r>
      <w:proofErr w:type="spellStart"/>
      <w:r>
        <w:rPr>
          <w:sz w:val="24"/>
          <w:szCs w:val="24"/>
        </w:rPr>
        <w:t>hyperadrenocotricism</w:t>
      </w:r>
      <w:proofErr w:type="spellEnd"/>
      <w:r>
        <w:rPr>
          <w:sz w:val="24"/>
          <w:szCs w:val="24"/>
        </w:rPr>
        <w:t>, if PU/PD were only signs, if had recent treatment with azole antifungals, or glucocorticoids</w:t>
      </w:r>
    </w:p>
    <w:p w:rsidR="00A806A2" w:rsidRDefault="00A806A2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953B2">
        <w:rPr>
          <w:sz w:val="24"/>
          <w:szCs w:val="24"/>
        </w:rPr>
        <w:t xml:space="preserve"> 522 dogs (163 </w:t>
      </w:r>
      <w:proofErr w:type="spellStart"/>
      <w:r w:rsidRPr="007953B2">
        <w:rPr>
          <w:sz w:val="24"/>
          <w:szCs w:val="24"/>
        </w:rPr>
        <w:t>hypoadrenocorticism</w:t>
      </w:r>
      <w:proofErr w:type="spellEnd"/>
      <w:r w:rsidRPr="007953B2">
        <w:rPr>
          <w:sz w:val="24"/>
          <w:szCs w:val="24"/>
        </w:rPr>
        <w:t>, 351 non</w:t>
      </w:r>
      <w:r w:rsidR="007953B2" w:rsidRPr="007953B2">
        <w:rPr>
          <w:sz w:val="24"/>
          <w:szCs w:val="24"/>
        </w:rPr>
        <w:t>-</w:t>
      </w:r>
      <w:r w:rsidRPr="007953B2">
        <w:rPr>
          <w:sz w:val="24"/>
          <w:szCs w:val="24"/>
        </w:rPr>
        <w:t>adrenal illness</w:t>
      </w:r>
      <w:r w:rsidR="007953B2" w:rsidRPr="007953B2">
        <w:rPr>
          <w:sz w:val="24"/>
          <w:szCs w:val="24"/>
        </w:rPr>
        <w:t>, 8 equivocal)</w:t>
      </w:r>
    </w:p>
    <w:p w:rsidR="007953B2" w:rsidRDefault="007953B2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Used their post stim cortisol as diagnostic gold standard</w:t>
      </w:r>
    </w:p>
    <w:p w:rsidR="007953B2" w:rsidRDefault="007953B2" w:rsidP="007953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Results/Conclusions: </w:t>
      </w:r>
    </w:p>
    <w:p w:rsidR="007953B2" w:rsidRDefault="007953B2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Baseline &gt;55 </w:t>
      </w:r>
      <w:proofErr w:type="spellStart"/>
      <w:r>
        <w:rPr>
          <w:sz w:val="24"/>
          <w:szCs w:val="24"/>
        </w:rPr>
        <w:t>nmol</w:t>
      </w:r>
      <w:proofErr w:type="spellEnd"/>
      <w:r>
        <w:rPr>
          <w:sz w:val="24"/>
          <w:szCs w:val="24"/>
        </w:rPr>
        <w:t xml:space="preserve">/L reliably excludes </w:t>
      </w:r>
      <w:proofErr w:type="spellStart"/>
      <w:r>
        <w:rPr>
          <w:sz w:val="24"/>
          <w:szCs w:val="24"/>
        </w:rPr>
        <w:t>hypoadrenocorticism</w:t>
      </w:r>
      <w:proofErr w:type="spellEnd"/>
    </w:p>
    <w:p w:rsidR="00CD6A7C" w:rsidRDefault="00CD6A7C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Baseline &lt;55nmol/L has sensitivity of 99.4%</w:t>
      </w:r>
    </w:p>
    <w:p w:rsidR="007953B2" w:rsidRDefault="007953B2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Concentrations were similar in dogs with and without electrolyte abnormalities</w:t>
      </w:r>
    </w:p>
    <w:p w:rsidR="007953B2" w:rsidRDefault="00CD6A7C" w:rsidP="007953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&lt;5.5</w:t>
      </w:r>
      <w:r w:rsidR="007953B2">
        <w:rPr>
          <w:sz w:val="24"/>
          <w:szCs w:val="24"/>
        </w:rPr>
        <w:t xml:space="preserve">nmol/L </w:t>
      </w:r>
      <w:r>
        <w:rPr>
          <w:sz w:val="24"/>
          <w:szCs w:val="24"/>
        </w:rPr>
        <w:t>(0.19mcg/</w:t>
      </w:r>
      <w:proofErr w:type="spellStart"/>
      <w:r>
        <w:rPr>
          <w:sz w:val="24"/>
          <w:szCs w:val="24"/>
        </w:rPr>
        <w:t>dL</w:t>
      </w:r>
      <w:proofErr w:type="spellEnd"/>
      <w:r>
        <w:rPr>
          <w:sz w:val="24"/>
          <w:szCs w:val="24"/>
        </w:rPr>
        <w:t xml:space="preserve">) </w:t>
      </w:r>
      <w:r w:rsidR="007953B2">
        <w:rPr>
          <w:sz w:val="24"/>
          <w:szCs w:val="24"/>
        </w:rPr>
        <w:t>were very specific</w:t>
      </w:r>
      <w:r>
        <w:rPr>
          <w:sz w:val="24"/>
          <w:szCs w:val="24"/>
        </w:rPr>
        <w:t xml:space="preserve"> (99.1%)</w:t>
      </w:r>
      <w:r w:rsidR="007953B2">
        <w:rPr>
          <w:sz w:val="24"/>
          <w:szCs w:val="24"/>
        </w:rPr>
        <w:t xml:space="preserve"> for diagnosis of </w:t>
      </w:r>
      <w:proofErr w:type="spellStart"/>
      <w:r w:rsidR="007953B2">
        <w:rPr>
          <w:sz w:val="24"/>
          <w:szCs w:val="24"/>
        </w:rPr>
        <w:t>hypoadrenocorticism</w:t>
      </w:r>
      <w:proofErr w:type="spellEnd"/>
    </w:p>
    <w:p w:rsidR="00CD6A7C" w:rsidRPr="007953B2" w:rsidRDefault="00CD6A7C" w:rsidP="00CD6A7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Still recommend additional diagnostics prior to definitive diagnosis is made until we have further studies in this area</w:t>
      </w:r>
    </w:p>
    <w:p w:rsidR="007953B2" w:rsidRDefault="00EB1A18" w:rsidP="00A806A2">
      <w:pPr>
        <w:rPr>
          <w:sz w:val="24"/>
          <w:szCs w:val="24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BB71CB8" wp14:editId="3AD5B42F">
            <wp:simplePos x="0" y="0"/>
            <wp:positionH relativeFrom="margin">
              <wp:posOffset>-123825</wp:posOffset>
            </wp:positionH>
            <wp:positionV relativeFrom="page">
              <wp:posOffset>6837680</wp:posOffset>
            </wp:positionV>
            <wp:extent cx="6120057" cy="717636"/>
            <wp:effectExtent l="0" t="0" r="0" b="635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7176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B1A18" w:rsidRDefault="007953B2" w:rsidP="00EB1A18">
      <w:pPr>
        <w:pStyle w:val="Body"/>
      </w:pPr>
      <w:r>
        <w:rPr>
          <w:sz w:val="24"/>
          <w:szCs w:val="24"/>
        </w:rPr>
        <w:t xml:space="preserve"> </w:t>
      </w:r>
      <w:r w:rsidR="00EB1A18">
        <w:rPr>
          <w:b/>
          <w:bCs/>
        </w:rPr>
        <w:t xml:space="preserve">Objective: </w:t>
      </w:r>
      <w:r w:rsidR="00EB1A18">
        <w:t xml:space="preserve">To detect bacterial contamination of canine whole blood during a normal shelf life, and quantify and identify the bacteria involved. </w:t>
      </w:r>
    </w:p>
    <w:p w:rsidR="00EB1A18" w:rsidRDefault="00EB1A18" w:rsidP="00EB1A18">
      <w:pPr>
        <w:pStyle w:val="Body"/>
        <w:numPr>
          <w:ilvl w:val="0"/>
          <w:numId w:val="3"/>
        </w:numPr>
      </w:pPr>
      <w:r>
        <w:t>Stored units of whole blood have been associated with a greater risk of transfusion reaction that fresher ones in people</w:t>
      </w:r>
    </w:p>
    <w:p w:rsidR="00EB1A18" w:rsidRDefault="00EB1A18" w:rsidP="00EB1A18">
      <w:pPr>
        <w:pStyle w:val="Body"/>
        <w:numPr>
          <w:ilvl w:val="0"/>
          <w:numId w:val="3"/>
        </w:numPr>
      </w:pPr>
      <w:r>
        <w:t>Unsure of the mechanism of this but may be related to bacterial contamination</w:t>
      </w:r>
    </w:p>
    <w:p w:rsidR="00EB1A18" w:rsidRDefault="00EB1A18" w:rsidP="00EB1A18">
      <w:pPr>
        <w:pStyle w:val="Body"/>
        <w:ind w:left="240"/>
      </w:pPr>
      <w:bookmarkStart w:id="0" w:name="_GoBack"/>
      <w:bookmarkEnd w:id="0"/>
    </w:p>
    <w:p w:rsidR="00EB1A18" w:rsidRDefault="00EB1A18" w:rsidP="00EB1A18">
      <w:pPr>
        <w:pStyle w:val="Body"/>
      </w:pPr>
      <w:r>
        <w:rPr>
          <w:b/>
          <w:bCs/>
        </w:rPr>
        <w:lastRenderedPageBreak/>
        <w:t xml:space="preserve">Methods: </w:t>
      </w:r>
      <w:r>
        <w:t xml:space="preserve">49 Units of Whole Blood collected from 49 healthy donor dogs. Segments of lines tested on days 0, 1, 7, 14, 21, 28, 35, and 42 for bacterial contamination. </w:t>
      </w:r>
    </w:p>
    <w:p w:rsidR="00EB1A18" w:rsidRDefault="00EB1A18" w:rsidP="00EB1A18">
      <w:pPr>
        <w:pStyle w:val="Body"/>
        <w:rPr>
          <w:b/>
          <w:bCs/>
        </w:rPr>
      </w:pPr>
      <w:r>
        <w:rPr>
          <w:b/>
          <w:bCs/>
        </w:rPr>
        <w:t>Results: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>On bacterial culture, 47/49 blood units were negative at all time points tested.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 xml:space="preserve">On qPCR assay, 26 of 49 blood units were positive on at least 1 time point 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rPr>
          <w:lang w:val="pt-PT"/>
        </w:rPr>
        <w:t>Propionobacterium spp., Corynebacterium spp.,</w:t>
      </w:r>
      <w:r>
        <w:t xml:space="preserve"> </w:t>
      </w:r>
      <w:proofErr w:type="spellStart"/>
      <w:r>
        <w:t>Caulobacter</w:t>
      </w:r>
      <w:proofErr w:type="spellEnd"/>
      <w:r>
        <w:t xml:space="preserve"> spp., Pseudomonas spp., Enterococcus spp., </w:t>
      </w:r>
      <w:proofErr w:type="spellStart"/>
      <w:r>
        <w:t>Serratia</w:t>
      </w:r>
      <w:proofErr w:type="spellEnd"/>
      <w:r>
        <w:t xml:space="preserve"> spp., and </w:t>
      </w:r>
      <w:proofErr w:type="spellStart"/>
      <w:r>
        <w:t>Leucobacter</w:t>
      </w:r>
      <w:proofErr w:type="spellEnd"/>
      <w:r>
        <w:t xml:space="preserve"> spp.) 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 xml:space="preserve">Loads were </w:t>
      </w:r>
      <w:r>
        <w:rPr>
          <w:lang w:val="nl-NL"/>
        </w:rPr>
        <w:t>&lt;80 genome equivalents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>Many of these units (30/49) were transfused and no reactions were noted</w:t>
      </w:r>
    </w:p>
    <w:p w:rsidR="00EB1A18" w:rsidRDefault="00EB1A18" w:rsidP="00EB1A18">
      <w:pPr>
        <w:pStyle w:val="Body"/>
        <w:rPr>
          <w:b/>
          <w:bCs/>
        </w:rPr>
      </w:pPr>
      <w:r>
        <w:rPr>
          <w:b/>
          <w:bCs/>
        </w:rPr>
        <w:t>Conclusions: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 xml:space="preserve">Loads were too low to likely be of clinical significance </w:t>
      </w:r>
    </w:p>
    <w:p w:rsidR="00EB1A18" w:rsidRDefault="00EB1A18" w:rsidP="00EB1A18">
      <w:pPr>
        <w:pStyle w:val="Body"/>
        <w:numPr>
          <w:ilvl w:val="2"/>
          <w:numId w:val="4"/>
        </w:numPr>
      </w:pPr>
      <w:r>
        <w:t>Presence of bacteria is of low significance, only when they replicate do we worry about septic complications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>Only common bacteria were identified, and not those typically identified in transfusion reactions</w:t>
      </w:r>
    </w:p>
    <w:p w:rsidR="00EB1A18" w:rsidRDefault="00EB1A18" w:rsidP="00EB1A18">
      <w:pPr>
        <w:pStyle w:val="Body"/>
        <w:numPr>
          <w:ilvl w:val="0"/>
          <w:numId w:val="4"/>
        </w:numPr>
      </w:pPr>
      <w:r>
        <w:t>Administration of all units would have an acceptable risk</w:t>
      </w:r>
    </w:p>
    <w:p w:rsidR="007953B2" w:rsidRPr="00A806A2" w:rsidRDefault="007953B2" w:rsidP="00A806A2">
      <w:pPr>
        <w:rPr>
          <w:sz w:val="24"/>
          <w:szCs w:val="24"/>
        </w:rPr>
      </w:pPr>
    </w:p>
    <w:sectPr w:rsidR="007953B2" w:rsidRPr="00A8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56EFD"/>
    <w:multiLevelType w:val="hybridMultilevel"/>
    <w:tmpl w:val="0B7873F2"/>
    <w:lvl w:ilvl="0" w:tplc="DAAEFB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A800EB"/>
    <w:multiLevelType w:val="hybridMultilevel"/>
    <w:tmpl w:val="28E6442C"/>
    <w:numStyleLink w:val="Dash"/>
  </w:abstractNum>
  <w:abstractNum w:abstractNumId="2" w15:restartNumberingAfterBreak="0">
    <w:nsid w:val="57D017BE"/>
    <w:multiLevelType w:val="hybridMultilevel"/>
    <w:tmpl w:val="28E6442C"/>
    <w:styleLink w:val="Dash"/>
    <w:lvl w:ilvl="0" w:tplc="A59CD782">
      <w:start w:val="1"/>
      <w:numFmt w:val="bullet"/>
      <w:lvlText w:val="-"/>
      <w:lvlJc w:val="left"/>
      <w:pPr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6A045E0">
      <w:start w:val="1"/>
      <w:numFmt w:val="bullet"/>
      <w:lvlText w:val="-"/>
      <w:lvlJc w:val="left"/>
      <w:pPr>
        <w:ind w:left="48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1AE2D54E">
      <w:start w:val="1"/>
      <w:numFmt w:val="bullet"/>
      <w:lvlText w:val="-"/>
      <w:lvlJc w:val="left"/>
      <w:pPr>
        <w:ind w:left="72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9402B51E">
      <w:start w:val="1"/>
      <w:numFmt w:val="bullet"/>
      <w:lvlText w:val="-"/>
      <w:lvlJc w:val="left"/>
      <w:pPr>
        <w:ind w:left="9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EB1E6890">
      <w:start w:val="1"/>
      <w:numFmt w:val="bullet"/>
      <w:lvlText w:val="-"/>
      <w:lvlJc w:val="left"/>
      <w:pPr>
        <w:ind w:left="120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A800EE8">
      <w:start w:val="1"/>
      <w:numFmt w:val="bullet"/>
      <w:lvlText w:val="-"/>
      <w:lvlJc w:val="left"/>
      <w:pPr>
        <w:ind w:left="14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2EE672F6">
      <w:start w:val="1"/>
      <w:numFmt w:val="bullet"/>
      <w:lvlText w:val="-"/>
      <w:lvlJc w:val="left"/>
      <w:pPr>
        <w:ind w:left="168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A63009B2">
      <w:start w:val="1"/>
      <w:numFmt w:val="bullet"/>
      <w:lvlText w:val="-"/>
      <w:lvlJc w:val="left"/>
      <w:pPr>
        <w:ind w:left="192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46C146E">
      <w:start w:val="1"/>
      <w:numFmt w:val="bullet"/>
      <w:lvlText w:val="-"/>
      <w:lvlJc w:val="left"/>
      <w:pPr>
        <w:ind w:left="21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lvl w:ilvl="0" w:tplc="AE1AA09C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11309E9C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58401B6E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A7363AF2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A5EE4F92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FC225030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C9A4396E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8724A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391C5EF8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A2"/>
    <w:rsid w:val="007953B2"/>
    <w:rsid w:val="00A806A2"/>
    <w:rsid w:val="00CD6A7C"/>
    <w:rsid w:val="00D465AF"/>
    <w:rsid w:val="00D810D8"/>
    <w:rsid w:val="00EB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E2D65-9131-4022-9F34-6AACFD3C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6A2"/>
    <w:pPr>
      <w:ind w:left="720"/>
      <w:contextualSpacing/>
    </w:pPr>
  </w:style>
  <w:style w:type="paragraph" w:customStyle="1" w:styleId="Body">
    <w:name w:val="Body"/>
    <w:rsid w:val="00EB1A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Dash">
    <w:name w:val="Dash"/>
    <w:rsid w:val="00EB1A1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2</cp:revision>
  <dcterms:created xsi:type="dcterms:W3CDTF">2016-12-05T17:14:00Z</dcterms:created>
  <dcterms:modified xsi:type="dcterms:W3CDTF">2016-12-06T20:47:00Z</dcterms:modified>
</cp:coreProperties>
</file>