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D3F5F" w14:textId="77777777" w:rsidR="00D670A7" w:rsidRDefault="00395A54" w:rsidP="00D670A7">
      <w:pPr>
        <w:jc w:val="center"/>
        <w:rPr>
          <w:b/>
          <w:sz w:val="28"/>
          <w:szCs w:val="28"/>
          <w:u w:val="single"/>
          <w:lang w:val="en-AU"/>
        </w:rPr>
      </w:pPr>
      <w:r w:rsidRPr="00395A54">
        <w:rPr>
          <w:b/>
          <w:sz w:val="28"/>
          <w:szCs w:val="28"/>
          <w:u w:val="single"/>
          <w:lang w:val="en-AU"/>
        </w:rPr>
        <w:t>JVIM December</w:t>
      </w:r>
    </w:p>
    <w:p w14:paraId="69D51047" w14:textId="77777777" w:rsidR="00D670A7" w:rsidRDefault="00D670A7" w:rsidP="00D670A7">
      <w:pPr>
        <w:jc w:val="center"/>
        <w:rPr>
          <w:b/>
          <w:sz w:val="28"/>
          <w:szCs w:val="28"/>
          <w:u w:val="single"/>
          <w:lang w:val="en-AU"/>
        </w:rPr>
      </w:pPr>
    </w:p>
    <w:p w14:paraId="2DDE5BCB" w14:textId="77777777" w:rsidR="00D670A7" w:rsidRPr="00D670A7" w:rsidRDefault="00D670A7" w:rsidP="00D670A7">
      <w:pPr>
        <w:jc w:val="center"/>
        <w:rPr>
          <w:b/>
          <w:sz w:val="28"/>
          <w:szCs w:val="28"/>
          <w:lang w:val="en-AU"/>
        </w:rPr>
      </w:pPr>
      <w:r w:rsidRPr="00D670A7">
        <w:rPr>
          <w:b/>
          <w:sz w:val="28"/>
          <w:szCs w:val="28"/>
          <w:lang w:val="en-AU"/>
        </w:rPr>
        <w:drawing>
          <wp:inline distT="0" distB="0" distL="0" distR="0" wp14:anchorId="68768989" wp14:editId="26873273">
            <wp:extent cx="5727700" cy="1368425"/>
            <wp:effectExtent l="0" t="0" r="1270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5915" w14:textId="77777777" w:rsidR="00D670A7" w:rsidRPr="00D670A7" w:rsidRDefault="00D670A7" w:rsidP="00D670A7">
      <w:pPr>
        <w:jc w:val="center"/>
        <w:rPr>
          <w:b/>
          <w:sz w:val="28"/>
          <w:szCs w:val="28"/>
          <w:lang w:val="en-AU"/>
        </w:rPr>
      </w:pPr>
    </w:p>
    <w:p w14:paraId="788A4867" w14:textId="77777777" w:rsidR="00A573EA" w:rsidRPr="00A573EA" w:rsidRDefault="00A573EA" w:rsidP="00A573EA">
      <w:pPr>
        <w:rPr>
          <w:lang w:val="en-AU"/>
        </w:rPr>
      </w:pPr>
      <w:r>
        <w:rPr>
          <w:lang w:val="en-AU"/>
        </w:rPr>
        <w:t>BACKGROUND</w:t>
      </w:r>
    </w:p>
    <w:p w14:paraId="6C088616" w14:textId="77777777" w:rsidR="00D670A7" w:rsidRDefault="00855E3C" w:rsidP="00D670A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Use of </w:t>
      </w:r>
      <w:proofErr w:type="spellStart"/>
      <w:r>
        <w:rPr>
          <w:lang w:val="en-AU"/>
        </w:rPr>
        <w:t>pimobendan</w:t>
      </w:r>
      <w:proofErr w:type="spellEnd"/>
      <w:r>
        <w:rPr>
          <w:lang w:val="en-AU"/>
        </w:rPr>
        <w:t xml:space="preserve"> in patients with stage B2 MMVD (cardiac enlargement has developed to compensate for volume load, but no CHF has developed</w:t>
      </w:r>
    </w:p>
    <w:p w14:paraId="1E0CDEC6" w14:textId="77777777" w:rsidR="003A5AB4" w:rsidRDefault="003A5AB4" w:rsidP="00D670A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Median period free from CHF in dogs with B2 disease is 27months</w:t>
      </w:r>
    </w:p>
    <w:p w14:paraId="6ECB113E" w14:textId="77777777" w:rsidR="003A5AB4" w:rsidRDefault="003A5AB4" w:rsidP="00D670A7">
      <w:pPr>
        <w:pStyle w:val="ListParagraph"/>
        <w:numPr>
          <w:ilvl w:val="0"/>
          <w:numId w:val="1"/>
        </w:numPr>
        <w:rPr>
          <w:lang w:val="en-AU"/>
        </w:rPr>
      </w:pPr>
      <w:proofErr w:type="spellStart"/>
      <w:r>
        <w:rPr>
          <w:lang w:val="en-AU"/>
        </w:rPr>
        <w:t>Pimo</w:t>
      </w:r>
      <w:proofErr w:type="spellEnd"/>
      <w:r>
        <w:rPr>
          <w:lang w:val="en-AU"/>
        </w:rPr>
        <w:t xml:space="preserve"> is associated with reduction in heart size in preclinical DCM and stage C MMVD</w:t>
      </w:r>
    </w:p>
    <w:p w14:paraId="7F616404" w14:textId="77777777" w:rsidR="00A573EA" w:rsidRDefault="00A573EA" w:rsidP="00D670A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“Evaluation of </w:t>
      </w:r>
      <w:proofErr w:type="spellStart"/>
      <w:r>
        <w:rPr>
          <w:lang w:val="en-AU"/>
        </w:rPr>
        <w:t>Pimobendan</w:t>
      </w:r>
      <w:proofErr w:type="spellEnd"/>
      <w:r>
        <w:rPr>
          <w:lang w:val="en-AU"/>
        </w:rPr>
        <w:t xml:space="preserve"> </w:t>
      </w:r>
      <w:proofErr w:type="gramStart"/>
      <w:r>
        <w:rPr>
          <w:lang w:val="en-AU"/>
        </w:rPr>
        <w:t>In</w:t>
      </w:r>
      <w:proofErr w:type="gramEnd"/>
      <w:r>
        <w:rPr>
          <w:lang w:val="en-AU"/>
        </w:rPr>
        <w:t xml:space="preserve"> dogs with Cardiomyopathy”</w:t>
      </w:r>
    </w:p>
    <w:p w14:paraId="5646EE41" w14:textId="77777777" w:rsidR="00A573EA" w:rsidRDefault="00A573EA" w:rsidP="00A573EA">
      <w:pPr>
        <w:rPr>
          <w:lang w:val="en-AU"/>
        </w:rPr>
      </w:pPr>
    </w:p>
    <w:p w14:paraId="7A2F16BD" w14:textId="77777777" w:rsidR="00A573EA" w:rsidRDefault="00A573EA" w:rsidP="00A573EA">
      <w:pPr>
        <w:rPr>
          <w:lang w:val="en-AU"/>
        </w:rPr>
      </w:pPr>
      <w:r>
        <w:rPr>
          <w:lang w:val="en-AU"/>
        </w:rPr>
        <w:t>METHODS</w:t>
      </w:r>
    </w:p>
    <w:p w14:paraId="7B885CC6" w14:textId="77777777" w:rsidR="00A573EA" w:rsidRDefault="00A573EA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Prospective, multicentre, blinded, randomized, placebo-control study</w:t>
      </w:r>
    </w:p>
    <w:p w14:paraId="395C0B8B" w14:textId="77777777" w:rsidR="00DE40A1" w:rsidRDefault="00DE40A1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Funded by </w:t>
      </w:r>
      <w:proofErr w:type="spellStart"/>
      <w:r>
        <w:rPr>
          <w:lang w:val="en-AU"/>
        </w:rPr>
        <w:t>Boehringer</w:t>
      </w:r>
      <w:proofErr w:type="spellEnd"/>
    </w:p>
    <w:p w14:paraId="1B33B7D4" w14:textId="77777777" w:rsidR="00DE40A1" w:rsidRDefault="00DE40A1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Eligible if &gt;6yo, &gt;4.1kg, &lt; 15kg, mitral murmur ≥3/6, advanced MMVD on echo, left atrial and left ventricular enlargement (LA/</w:t>
      </w:r>
      <w:proofErr w:type="spellStart"/>
      <w:r>
        <w:rPr>
          <w:lang w:val="en-AU"/>
        </w:rPr>
        <w:t>Ao</w:t>
      </w:r>
      <w:proofErr w:type="spellEnd"/>
      <w:r>
        <w:rPr>
          <w:lang w:val="en-AU"/>
        </w:rPr>
        <w:t xml:space="preserve"> ≥ 1.6, LVIDDN ≥ 1.7), and radiographic cardiomegaly</w:t>
      </w:r>
    </w:p>
    <w:p w14:paraId="2A1FFBCF" w14:textId="77777777" w:rsidR="00DE40A1" w:rsidRDefault="00DE40A1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Excluded: Other systemic illness that may shorten life expectancy or require medications affecting the CVS, current or previous CHF, other cardiac disease, significant </w:t>
      </w:r>
      <w:proofErr w:type="spellStart"/>
      <w:r>
        <w:rPr>
          <w:lang w:val="en-AU"/>
        </w:rPr>
        <w:t>tachyarrhythmias</w:t>
      </w:r>
      <w:proofErr w:type="spellEnd"/>
      <w:r>
        <w:rPr>
          <w:lang w:val="en-AU"/>
        </w:rPr>
        <w:t>, significant pulmonary hypertension</w:t>
      </w:r>
    </w:p>
    <w:p w14:paraId="280C0C18" w14:textId="77777777" w:rsidR="00EA5F86" w:rsidRDefault="00EA5F86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Administered a target dose of 0.4-0.6mg/kg/day, divided to twice daily</w:t>
      </w:r>
    </w:p>
    <w:p w14:paraId="7138AAAA" w14:textId="77777777" w:rsidR="00530DEF" w:rsidRDefault="00530DEF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Re-evaluated every 4 months until completion of the study</w:t>
      </w:r>
    </w:p>
    <w:p w14:paraId="25F83392" w14:textId="77777777" w:rsidR="00530DEF" w:rsidRDefault="00530DEF" w:rsidP="00A573E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Primary endpoint = left-sided CHF, euthanasia for cardiac reasons or death presumed to be cardiac in origin </w:t>
      </w:r>
    </w:p>
    <w:p w14:paraId="3DDF2C99" w14:textId="77777777" w:rsidR="00C36F25" w:rsidRDefault="00C36F25" w:rsidP="00C36F25">
      <w:pPr>
        <w:rPr>
          <w:lang w:val="en-AU"/>
        </w:rPr>
      </w:pPr>
    </w:p>
    <w:p w14:paraId="35BECB24" w14:textId="77777777" w:rsidR="00B235A9" w:rsidRDefault="00C36F25" w:rsidP="00C36F25">
      <w:pPr>
        <w:rPr>
          <w:lang w:val="en-AU"/>
        </w:rPr>
      </w:pPr>
      <w:r>
        <w:rPr>
          <w:lang w:val="en-AU"/>
        </w:rPr>
        <w:t>RESULTS:</w:t>
      </w:r>
      <w:r>
        <w:rPr>
          <w:lang w:val="en-AU"/>
        </w:rPr>
        <w:br/>
        <w:t>- 354 dogs met inclusion criteria</w:t>
      </w:r>
    </w:p>
    <w:p w14:paraId="7383EA95" w14:textId="77777777" w:rsidR="00B235A9" w:rsidRDefault="00B235A9" w:rsidP="00B235A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Time to primary </w:t>
      </w:r>
      <w:proofErr w:type="gramStart"/>
      <w:r>
        <w:rPr>
          <w:lang w:val="en-AU"/>
        </w:rPr>
        <w:t>end point</w:t>
      </w:r>
      <w:proofErr w:type="gramEnd"/>
      <w:r>
        <w:rPr>
          <w:lang w:val="en-AU"/>
        </w:rPr>
        <w:t xml:space="preserve"> was 1228 in </w:t>
      </w:r>
      <w:proofErr w:type="spellStart"/>
      <w:r>
        <w:rPr>
          <w:lang w:val="en-AU"/>
        </w:rPr>
        <w:t>pimo</w:t>
      </w:r>
      <w:proofErr w:type="spellEnd"/>
      <w:r>
        <w:rPr>
          <w:lang w:val="en-AU"/>
        </w:rPr>
        <w:t xml:space="preserve"> group, 766 in placebo group with hazard ratio of 0.64</w:t>
      </w:r>
    </w:p>
    <w:p w14:paraId="26CB5369" w14:textId="77777777" w:rsidR="007C3F1D" w:rsidRDefault="007C3F1D" w:rsidP="00B235A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60% prolongation of preclinical period in dogs treated with </w:t>
      </w:r>
      <w:proofErr w:type="spellStart"/>
      <w:r>
        <w:rPr>
          <w:lang w:val="en-AU"/>
        </w:rPr>
        <w:t>pimo</w:t>
      </w:r>
      <w:proofErr w:type="spellEnd"/>
    </w:p>
    <w:p w14:paraId="614BB198" w14:textId="77777777" w:rsidR="007C3F1D" w:rsidRDefault="007C3F1D" w:rsidP="00B235A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Overall survival was longer in dogs treated with </w:t>
      </w:r>
      <w:proofErr w:type="spellStart"/>
      <w:r>
        <w:rPr>
          <w:lang w:val="en-AU"/>
        </w:rPr>
        <w:t>pimo</w:t>
      </w:r>
      <w:proofErr w:type="spellEnd"/>
      <w:r w:rsidR="00535245">
        <w:rPr>
          <w:lang w:val="en-AU"/>
        </w:rPr>
        <w:t xml:space="preserve"> by approximately 15months</w:t>
      </w:r>
    </w:p>
    <w:p w14:paraId="01D34087" w14:textId="77777777" w:rsidR="00D670A7" w:rsidRPr="00D670A7" w:rsidRDefault="00D670A7" w:rsidP="009C0B2F">
      <w:pPr>
        <w:rPr>
          <w:b/>
          <w:sz w:val="28"/>
          <w:szCs w:val="28"/>
          <w:lang w:val="en-AU"/>
        </w:rPr>
      </w:pPr>
    </w:p>
    <w:p w14:paraId="205F2561" w14:textId="77777777" w:rsidR="00D670A7" w:rsidRDefault="00D670A7" w:rsidP="00D670A7">
      <w:pPr>
        <w:jc w:val="center"/>
        <w:rPr>
          <w:b/>
          <w:sz w:val="28"/>
          <w:szCs w:val="28"/>
          <w:u w:val="single"/>
          <w:lang w:val="en-AU"/>
        </w:rPr>
      </w:pPr>
      <w:r w:rsidRPr="00D670A7">
        <w:rPr>
          <w:b/>
          <w:sz w:val="28"/>
          <w:szCs w:val="28"/>
          <w:lang w:val="en-AU"/>
        </w:rPr>
        <w:drawing>
          <wp:inline distT="0" distB="0" distL="0" distR="0" wp14:anchorId="2BA72BE9" wp14:editId="474C6415">
            <wp:extent cx="5727700" cy="77343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501F7" w14:textId="77777777" w:rsidR="009C0B2F" w:rsidRDefault="009C0B2F" w:rsidP="00D670A7">
      <w:pPr>
        <w:jc w:val="center"/>
        <w:rPr>
          <w:b/>
          <w:sz w:val="28"/>
          <w:szCs w:val="28"/>
          <w:u w:val="single"/>
          <w:lang w:val="en-AU"/>
        </w:rPr>
      </w:pPr>
    </w:p>
    <w:p w14:paraId="77AEEC06" w14:textId="12F35210" w:rsidR="009C0B2F" w:rsidRDefault="009C0B2F" w:rsidP="009C0B2F">
      <w:pPr>
        <w:rPr>
          <w:lang w:val="en-AU"/>
        </w:rPr>
      </w:pPr>
      <w:r>
        <w:rPr>
          <w:lang w:val="en-AU"/>
        </w:rPr>
        <w:t>BACKGROUND:</w:t>
      </w:r>
    </w:p>
    <w:p w14:paraId="3C033714" w14:textId="5E05DBCB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proofErr w:type="spellStart"/>
      <w:r>
        <w:rPr>
          <w:lang w:val="en-AU"/>
        </w:rPr>
        <w:t>Capromorelin</w:t>
      </w:r>
      <w:proofErr w:type="spellEnd"/>
      <w:r>
        <w:rPr>
          <w:lang w:val="en-AU"/>
        </w:rPr>
        <w:t xml:space="preserve"> = orally active small molecule growth hormone </w:t>
      </w:r>
      <w:proofErr w:type="spellStart"/>
      <w:r>
        <w:rPr>
          <w:lang w:val="en-AU"/>
        </w:rPr>
        <w:t>secretagogue</w:t>
      </w:r>
      <w:proofErr w:type="spellEnd"/>
      <w:r>
        <w:rPr>
          <w:lang w:val="en-AU"/>
        </w:rPr>
        <w:t>/ghrelin receptor agonist</w:t>
      </w:r>
    </w:p>
    <w:p w14:paraId="1B9FDB76" w14:textId="6264DB5F" w:rsidR="009C0B2F" w:rsidRDefault="009C0B2F" w:rsidP="009C0B2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lastRenderedPageBreak/>
        <w:t>binds GHS-receptors and stimulates growth hormone release</w:t>
      </w:r>
    </w:p>
    <w:p w14:paraId="5240B4EF" w14:textId="74DC54E6" w:rsidR="009C0B2F" w:rsidRDefault="009C0B2F" w:rsidP="009C0B2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Mimic ghrelin which is secreted by endocrine cells of stomach to </w:t>
      </w:r>
      <w:r w:rsidR="00F0291A">
        <w:rPr>
          <w:lang w:val="en-AU"/>
        </w:rPr>
        <w:t>stimulate</w:t>
      </w:r>
      <w:bookmarkStart w:id="0" w:name="_GoBack"/>
      <w:bookmarkEnd w:id="0"/>
      <w:r>
        <w:rPr>
          <w:lang w:val="en-AU"/>
        </w:rPr>
        <w:t xml:space="preserve"> appetite </w:t>
      </w:r>
    </w:p>
    <w:p w14:paraId="21CDF089" w14:textId="20A2FC30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FDA approved for appetite stimulation in dogs</w:t>
      </w:r>
    </w:p>
    <w:p w14:paraId="4640023F" w14:textId="77777777" w:rsidR="009C0B2F" w:rsidRDefault="009C0B2F" w:rsidP="009C0B2F">
      <w:pPr>
        <w:rPr>
          <w:lang w:val="en-AU"/>
        </w:rPr>
      </w:pPr>
    </w:p>
    <w:p w14:paraId="2CFCECAC" w14:textId="5525A8A6" w:rsidR="009C0B2F" w:rsidRDefault="009C0B2F" w:rsidP="009C0B2F">
      <w:pPr>
        <w:rPr>
          <w:lang w:val="en-AU"/>
        </w:rPr>
      </w:pPr>
      <w:r>
        <w:rPr>
          <w:lang w:val="en-AU"/>
        </w:rPr>
        <w:t>METHOD:</w:t>
      </w:r>
    </w:p>
    <w:p w14:paraId="7E105F51" w14:textId="04132645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Prospective, multicentre, masked, randomized, placebo-controlled parallel study</w:t>
      </w:r>
    </w:p>
    <w:p w14:paraId="1B7F775F" w14:textId="100D0769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Client-owned dogs with ≥ </w:t>
      </w:r>
      <w:proofErr w:type="gramStart"/>
      <w:r>
        <w:rPr>
          <w:lang w:val="en-AU"/>
        </w:rPr>
        <w:t>2 day</w:t>
      </w:r>
      <w:proofErr w:type="gramEnd"/>
      <w:r>
        <w:rPr>
          <w:lang w:val="en-AU"/>
        </w:rPr>
        <w:t xml:space="preserve"> history of severely reduced to absent appetite</w:t>
      </w:r>
    </w:p>
    <w:p w14:paraId="6DAFE5BA" w14:textId="2046FCE3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Dogs that were moribund, with deteriorating condition, or had been hospitalized within the previous 4days were </w:t>
      </w:r>
      <w:r w:rsidR="00F0291A">
        <w:rPr>
          <w:lang w:val="en-AU"/>
        </w:rPr>
        <w:t>excluded</w:t>
      </w:r>
    </w:p>
    <w:p w14:paraId="528E21A0" w14:textId="6CB926F7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proofErr w:type="gramStart"/>
      <w:r>
        <w:rPr>
          <w:lang w:val="en-AU"/>
        </w:rPr>
        <w:t>Also</w:t>
      </w:r>
      <w:proofErr w:type="gramEnd"/>
      <w:r>
        <w:rPr>
          <w:lang w:val="en-AU"/>
        </w:rPr>
        <w:t xml:space="preserve"> </w:t>
      </w:r>
      <w:r w:rsidR="00F0291A">
        <w:rPr>
          <w:lang w:val="en-AU"/>
        </w:rPr>
        <w:t>excluded</w:t>
      </w:r>
      <w:r>
        <w:rPr>
          <w:lang w:val="en-AU"/>
        </w:rPr>
        <w:t xml:space="preserve"> patients that food intake was contraindicated (foreign body </w:t>
      </w:r>
      <w:proofErr w:type="spellStart"/>
      <w:r>
        <w:rPr>
          <w:lang w:val="en-AU"/>
        </w:rPr>
        <w:t>etc</w:t>
      </w:r>
      <w:proofErr w:type="spellEnd"/>
      <w:r>
        <w:rPr>
          <w:lang w:val="en-AU"/>
        </w:rPr>
        <w:t xml:space="preserve">) or were likely to improve with antibiotics, as well as those regurgitating or with severe </w:t>
      </w:r>
      <w:r w:rsidR="00F0291A">
        <w:rPr>
          <w:lang w:val="en-AU"/>
        </w:rPr>
        <w:t>dental disease</w:t>
      </w:r>
    </w:p>
    <w:p w14:paraId="51433E16" w14:textId="39271B27" w:rsidR="009C0B2F" w:rsidRDefault="009C0B2F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Medications that may alter appetite were not allowed (diazepam, </w:t>
      </w:r>
      <w:proofErr w:type="spellStart"/>
      <w:r>
        <w:rPr>
          <w:lang w:val="en-AU"/>
        </w:rPr>
        <w:t>cyproheptadine</w:t>
      </w:r>
      <w:proofErr w:type="spellEnd"/>
      <w:r>
        <w:rPr>
          <w:lang w:val="en-AU"/>
        </w:rPr>
        <w:t xml:space="preserve">, mirtazapine, corticosteroids </w:t>
      </w:r>
      <w:proofErr w:type="spellStart"/>
      <w:r>
        <w:rPr>
          <w:lang w:val="en-AU"/>
        </w:rPr>
        <w:t>etc</w:t>
      </w:r>
      <w:proofErr w:type="spellEnd"/>
      <w:r>
        <w:rPr>
          <w:lang w:val="en-AU"/>
        </w:rPr>
        <w:t>)</w:t>
      </w:r>
      <w:r w:rsidR="00F0291A">
        <w:rPr>
          <w:lang w:val="en-AU"/>
        </w:rPr>
        <w:t xml:space="preserve">, and </w:t>
      </w:r>
      <w:proofErr w:type="spellStart"/>
      <w:r w:rsidR="00F0291A">
        <w:rPr>
          <w:lang w:val="en-AU"/>
        </w:rPr>
        <w:t>C</w:t>
      </w:r>
      <w:r w:rsidR="00BB6915">
        <w:rPr>
          <w:lang w:val="en-AU"/>
        </w:rPr>
        <w:t>erenia</w:t>
      </w:r>
      <w:proofErr w:type="spellEnd"/>
      <w:r w:rsidR="00BB6915">
        <w:rPr>
          <w:lang w:val="en-AU"/>
        </w:rPr>
        <w:t xml:space="preserve"> was only </w:t>
      </w:r>
      <w:r w:rsidR="00F0291A">
        <w:rPr>
          <w:lang w:val="en-AU"/>
        </w:rPr>
        <w:t>allowed</w:t>
      </w:r>
      <w:r w:rsidR="00BB6915">
        <w:rPr>
          <w:lang w:val="en-AU"/>
        </w:rPr>
        <w:t xml:space="preserve"> if was prescribed before the study start date</w:t>
      </w:r>
    </w:p>
    <w:p w14:paraId="66B6E89B" w14:textId="0EFF4E71" w:rsidR="00BB6915" w:rsidRPr="00BB6915" w:rsidRDefault="00BB6915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Treated once daily for 4 days at </w:t>
      </w:r>
      <w:r>
        <w:rPr>
          <w:b/>
          <w:lang w:val="en-AU"/>
        </w:rPr>
        <w:t>3mg/kg</w:t>
      </w:r>
    </w:p>
    <w:p w14:paraId="33C10591" w14:textId="254FCAEB" w:rsidR="00BB6915" w:rsidRDefault="00BB6915" w:rsidP="009C0B2F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Appetite evaluated by owner questionnaire and by body weights at day 0 vs day 3</w:t>
      </w:r>
    </w:p>
    <w:p w14:paraId="081D2F83" w14:textId="59381D9C" w:rsidR="00BB6915" w:rsidRPr="00BB6915" w:rsidRDefault="00BB6915" w:rsidP="00BB6915">
      <w:pPr>
        <w:pStyle w:val="ListParagraph"/>
        <w:numPr>
          <w:ilvl w:val="0"/>
          <w:numId w:val="1"/>
        </w:numPr>
        <w:rPr>
          <w:lang w:val="en-AU"/>
        </w:rPr>
      </w:pPr>
      <w:proofErr w:type="gramStart"/>
      <w:r>
        <w:rPr>
          <w:lang w:val="en-AU"/>
        </w:rPr>
        <w:t>Also</w:t>
      </w:r>
      <w:proofErr w:type="gramEnd"/>
      <w:r>
        <w:rPr>
          <w:lang w:val="en-AU"/>
        </w:rPr>
        <w:t xml:space="preserve"> </w:t>
      </w:r>
      <w:r w:rsidR="00F0291A">
        <w:rPr>
          <w:lang w:val="en-AU"/>
        </w:rPr>
        <w:t>monitored</w:t>
      </w:r>
      <w:r>
        <w:rPr>
          <w:lang w:val="en-AU"/>
        </w:rPr>
        <w:t xml:space="preserve"> </w:t>
      </w:r>
      <w:r w:rsidR="00F0291A">
        <w:rPr>
          <w:lang w:val="en-AU"/>
        </w:rPr>
        <w:t>bloodwork</w:t>
      </w:r>
      <w:r>
        <w:rPr>
          <w:lang w:val="en-AU"/>
        </w:rPr>
        <w:t xml:space="preserve"> for adverse effects</w:t>
      </w:r>
    </w:p>
    <w:p w14:paraId="1730271F" w14:textId="77777777" w:rsidR="00BB6915" w:rsidRDefault="00BB6915" w:rsidP="00BB6915">
      <w:pPr>
        <w:rPr>
          <w:lang w:val="en-AU"/>
        </w:rPr>
      </w:pPr>
    </w:p>
    <w:p w14:paraId="4CC35BFC" w14:textId="7DACBC0B" w:rsidR="00BB6915" w:rsidRDefault="00BB6915" w:rsidP="00BB6915">
      <w:pPr>
        <w:rPr>
          <w:lang w:val="en-AU"/>
        </w:rPr>
      </w:pPr>
      <w:r>
        <w:rPr>
          <w:lang w:val="en-AU"/>
        </w:rPr>
        <w:t>RESULTS:</w:t>
      </w:r>
    </w:p>
    <w:p w14:paraId="443357FB" w14:textId="55EFAF07" w:rsidR="00BB6915" w:rsidRDefault="00BB6915" w:rsidP="00BB6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244 cases </w:t>
      </w:r>
      <w:r w:rsidR="00F0291A">
        <w:rPr>
          <w:lang w:val="en-AU"/>
        </w:rPr>
        <w:t>enrolled</w:t>
      </w:r>
      <w:r>
        <w:rPr>
          <w:lang w:val="en-AU"/>
        </w:rPr>
        <w:t>; 2/3 in treatment group, 1/3 in placebo</w:t>
      </w:r>
    </w:p>
    <w:p w14:paraId="439FC483" w14:textId="7E148742" w:rsidR="00566C5F" w:rsidRDefault="00566C5F" w:rsidP="00BB6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68% in treatment had ‘increased’ in appetite vs 44% in placebo</w:t>
      </w:r>
    </w:p>
    <w:p w14:paraId="1A532915" w14:textId="035BCC1F" w:rsidR="001D14CC" w:rsidRDefault="001D14CC" w:rsidP="00BB6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Mean gain in body weight greater in the treatment group (P&lt;0.001)</w:t>
      </w:r>
    </w:p>
    <w:p w14:paraId="73B26B4B" w14:textId="255E444F" w:rsidR="001D14CC" w:rsidRDefault="001D14CC" w:rsidP="00BB6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‘serious adverse events’ occurred in 9 cases – 2 </w:t>
      </w:r>
      <w:proofErr w:type="gramStart"/>
      <w:r>
        <w:rPr>
          <w:lang w:val="en-AU"/>
        </w:rPr>
        <w:t>placebo</w:t>
      </w:r>
      <w:proofErr w:type="gramEnd"/>
      <w:r>
        <w:rPr>
          <w:lang w:val="en-AU"/>
        </w:rPr>
        <w:t xml:space="preserve"> and 2 treatment, but were attributed to underling disease</w:t>
      </w:r>
    </w:p>
    <w:p w14:paraId="55D69D52" w14:textId="2C6F50C2" w:rsidR="001D14CC" w:rsidRPr="00BB6915" w:rsidRDefault="001D14CC" w:rsidP="00BB6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Frequency of adverse events was not significantly different</w:t>
      </w:r>
    </w:p>
    <w:sectPr w:rsidR="001D14CC" w:rsidRPr="00BB6915" w:rsidSect="003F44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A3A95"/>
    <w:multiLevelType w:val="hybridMultilevel"/>
    <w:tmpl w:val="BD84FE12"/>
    <w:lvl w:ilvl="0" w:tplc="FD6471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54"/>
    <w:rsid w:val="00180F18"/>
    <w:rsid w:val="001D14CC"/>
    <w:rsid w:val="00395A54"/>
    <w:rsid w:val="003A5AB4"/>
    <w:rsid w:val="003F442D"/>
    <w:rsid w:val="00530DEF"/>
    <w:rsid w:val="00535245"/>
    <w:rsid w:val="00566C5F"/>
    <w:rsid w:val="007C3F1D"/>
    <w:rsid w:val="00855E3C"/>
    <w:rsid w:val="009C0B2F"/>
    <w:rsid w:val="00A573EA"/>
    <w:rsid w:val="00B235A9"/>
    <w:rsid w:val="00BB6915"/>
    <w:rsid w:val="00C36F25"/>
    <w:rsid w:val="00D670A7"/>
    <w:rsid w:val="00DE40A1"/>
    <w:rsid w:val="00EA5F86"/>
    <w:rsid w:val="00F0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884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440</Words>
  <Characters>2458</Characters>
  <Application>Microsoft Macintosh Word</Application>
  <DocSecurity>0</DocSecurity>
  <Lines>72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3</cp:revision>
  <dcterms:created xsi:type="dcterms:W3CDTF">2017-01-19T16:52:00Z</dcterms:created>
  <dcterms:modified xsi:type="dcterms:W3CDTF">2017-01-19T17:46:00Z</dcterms:modified>
</cp:coreProperties>
</file>