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left w:w="0" w:type="dxa"/>
          <w:right w:w="0" w:type="dxa"/>
        </w:tblCellMar>
        <w:tblLook w:val="04A0" w:firstRow="1" w:lastRow="0" w:firstColumn="1" w:lastColumn="0" w:noHBand="0" w:noVBand="1"/>
      </w:tblPr>
      <w:tblGrid>
        <w:gridCol w:w="51"/>
        <w:gridCol w:w="51"/>
      </w:tblGrid>
      <w:tr w:rsidR="00C83E51" w:rsidRPr="00C83E51" w:rsidTr="00C83E51">
        <w:trPr>
          <w:tblCellSpacing w:w="15" w:type="dxa"/>
        </w:trPr>
        <w:tc>
          <w:tcPr>
            <w:tcW w:w="0" w:type="auto"/>
            <w:vAlign w:val="center"/>
            <w:hideMark/>
          </w:tcPr>
          <w:p w:rsidR="00C83E51" w:rsidRPr="00C83E51" w:rsidRDefault="00C83E51" w:rsidP="00C83E51">
            <w:pPr>
              <w:rPr>
                <w:rFonts w:ascii="Times New Roman" w:eastAsia="Times New Roman" w:hAnsi="Times New Roman" w:cs="Times New Roman"/>
                <w:sz w:val="24"/>
                <w:szCs w:val="24"/>
              </w:rPr>
            </w:pPr>
          </w:p>
        </w:tc>
        <w:tc>
          <w:tcPr>
            <w:tcW w:w="0" w:type="auto"/>
            <w:vMerge w:val="restart"/>
            <w:vAlign w:val="center"/>
            <w:hideMark/>
          </w:tcPr>
          <w:p w:rsidR="00C83E51" w:rsidRPr="00C83E51" w:rsidRDefault="00C83E51" w:rsidP="00C83E51">
            <w:pPr>
              <w:spacing w:after="0" w:line="240" w:lineRule="auto"/>
              <w:rPr>
                <w:rFonts w:ascii="Times New Roman" w:eastAsia="Times New Roman" w:hAnsi="Times New Roman" w:cs="Times New Roman"/>
                <w:sz w:val="24"/>
                <w:szCs w:val="24"/>
              </w:rPr>
            </w:pPr>
          </w:p>
        </w:tc>
      </w:tr>
      <w:tr w:rsidR="00C83E51" w:rsidRPr="00C83E51" w:rsidTr="00C83E51">
        <w:trPr>
          <w:tblCellSpacing w:w="15" w:type="dxa"/>
        </w:trPr>
        <w:tc>
          <w:tcPr>
            <w:tcW w:w="0" w:type="auto"/>
            <w:vAlign w:val="center"/>
            <w:hideMark/>
          </w:tcPr>
          <w:p w:rsidR="00C83E51" w:rsidRPr="00C83E51" w:rsidRDefault="00C83E51" w:rsidP="00C83E51">
            <w:pPr>
              <w:spacing w:after="0" w:line="240" w:lineRule="auto"/>
              <w:rPr>
                <w:rFonts w:ascii="Times New Roman" w:eastAsia="Times New Roman" w:hAnsi="Times New Roman" w:cs="Times New Roman"/>
                <w:sz w:val="24"/>
                <w:szCs w:val="24"/>
              </w:rPr>
            </w:pPr>
          </w:p>
        </w:tc>
        <w:tc>
          <w:tcPr>
            <w:tcW w:w="0" w:type="auto"/>
            <w:vMerge/>
            <w:vAlign w:val="center"/>
            <w:hideMark/>
          </w:tcPr>
          <w:p w:rsidR="00C83E51" w:rsidRPr="00C83E51" w:rsidRDefault="00C83E51" w:rsidP="00C83E51">
            <w:pPr>
              <w:spacing w:after="0" w:line="240" w:lineRule="auto"/>
              <w:rPr>
                <w:rFonts w:ascii="Times New Roman" w:eastAsia="Times New Roman" w:hAnsi="Times New Roman" w:cs="Times New Roman"/>
                <w:sz w:val="24"/>
                <w:szCs w:val="24"/>
              </w:rPr>
            </w:pPr>
          </w:p>
        </w:tc>
      </w:tr>
    </w:tbl>
    <w:p w:rsidR="00C83E51" w:rsidRPr="00C83E51" w:rsidRDefault="00C83E51" w:rsidP="00C83E51">
      <w:pPr>
        <w:spacing w:after="0" w:line="240" w:lineRule="auto"/>
        <w:rPr>
          <w:rFonts w:ascii="Times New Roman" w:eastAsia="Times New Roman" w:hAnsi="Times New Roman" w:cs="Times New Roman"/>
          <w:vanish/>
          <w:sz w:val="24"/>
          <w:szCs w:val="24"/>
        </w:rPr>
      </w:pPr>
    </w:p>
    <w:tbl>
      <w:tblPr>
        <w:tblW w:w="0" w:type="auto"/>
        <w:tblCellSpacing w:w="15" w:type="dxa"/>
        <w:tblCellMar>
          <w:left w:w="0" w:type="dxa"/>
          <w:right w:w="0" w:type="dxa"/>
        </w:tblCellMar>
        <w:tblLook w:val="04A0" w:firstRow="1" w:lastRow="0" w:firstColumn="1" w:lastColumn="0" w:noHBand="0" w:noVBand="1"/>
      </w:tblPr>
      <w:tblGrid>
        <w:gridCol w:w="186"/>
      </w:tblGrid>
      <w:tr w:rsidR="00C83E51" w:rsidRPr="00C83E51" w:rsidTr="00C83E51">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126"/>
            </w:tblGrid>
            <w:tr w:rsidR="00C83E51" w:rsidRPr="00C83E51" w:rsidTr="00C83E51">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66"/>
                  </w:tblGrid>
                  <w:tr w:rsidR="00C83E51" w:rsidRPr="00C83E51" w:rsidTr="00C83E51">
                    <w:trPr>
                      <w:tblCellSpacing w:w="15" w:type="dxa"/>
                    </w:trPr>
                    <w:tc>
                      <w:tcPr>
                        <w:tcW w:w="0" w:type="auto"/>
                        <w:vAlign w:val="center"/>
                      </w:tcPr>
                      <w:p w:rsidR="00C83E51" w:rsidRPr="00C83E51" w:rsidRDefault="00C83E51" w:rsidP="00C83E51">
                        <w:pPr>
                          <w:spacing w:after="0" w:line="240" w:lineRule="auto"/>
                          <w:rPr>
                            <w:rFonts w:ascii="Times New Roman" w:eastAsia="Times New Roman" w:hAnsi="Times New Roman" w:cs="Times New Roman"/>
                            <w:sz w:val="24"/>
                            <w:szCs w:val="24"/>
                          </w:rPr>
                        </w:pPr>
                      </w:p>
                    </w:tc>
                  </w:tr>
                </w:tbl>
                <w:p w:rsidR="00C83E51" w:rsidRPr="00C83E51" w:rsidRDefault="00C83E51" w:rsidP="00C83E51">
                  <w:pPr>
                    <w:spacing w:after="0" w:line="240" w:lineRule="auto"/>
                    <w:rPr>
                      <w:rFonts w:ascii="Times New Roman" w:eastAsia="Times New Roman" w:hAnsi="Times New Roman" w:cs="Times New Roman"/>
                      <w:sz w:val="24"/>
                      <w:szCs w:val="24"/>
                    </w:rPr>
                  </w:pPr>
                </w:p>
              </w:tc>
            </w:tr>
          </w:tbl>
          <w:p w:rsidR="00C83E51" w:rsidRPr="00C83E51" w:rsidRDefault="00C83E51" w:rsidP="00C83E51">
            <w:pPr>
              <w:spacing w:before="100" w:beforeAutospacing="1" w:after="100" w:afterAutospacing="1" w:line="240" w:lineRule="auto"/>
              <w:ind w:left="1440"/>
              <w:rPr>
                <w:rFonts w:ascii="Times New Roman" w:eastAsia="Times New Roman" w:hAnsi="Times New Roman" w:cs="Times New Roman"/>
                <w:sz w:val="24"/>
                <w:szCs w:val="24"/>
              </w:rPr>
            </w:pPr>
          </w:p>
        </w:tc>
      </w:tr>
    </w:tbl>
    <w:p w:rsidR="00384227" w:rsidRDefault="00384227" w:rsidP="00384227">
      <w:pPr>
        <w:pStyle w:val="ListParagraph"/>
        <w:ind w:left="1440"/>
      </w:pPr>
      <w:r>
        <w:t>Key Points</w:t>
      </w:r>
    </w:p>
    <w:p w:rsidR="00384227" w:rsidRDefault="00384227" w:rsidP="00384227">
      <w:pPr>
        <w:pStyle w:val="ListParagraph"/>
        <w:numPr>
          <w:ilvl w:val="0"/>
          <w:numId w:val="3"/>
        </w:numPr>
      </w:pPr>
      <w:r>
        <w:t xml:space="preserve">Hypocalcemia is common in sick or septic human patients, but unknown </w:t>
      </w:r>
      <w:proofErr w:type="spellStart"/>
      <w:r>
        <w:t>occurance</w:t>
      </w:r>
      <w:proofErr w:type="spellEnd"/>
      <w:r>
        <w:t xml:space="preserve"> in veterinary medicine (as of 2007)</w:t>
      </w:r>
    </w:p>
    <w:p w:rsidR="00384227" w:rsidRDefault="00384227" w:rsidP="00384227">
      <w:pPr>
        <w:pStyle w:val="ListParagraph"/>
        <w:numPr>
          <w:ilvl w:val="0"/>
          <w:numId w:val="3"/>
        </w:numPr>
      </w:pPr>
      <w:r>
        <w:t>Mechanisms are unknown but proposed to be either redistribution, dependent on PTH changes, renal losses or others</w:t>
      </w:r>
    </w:p>
    <w:p w:rsidR="00384227" w:rsidRDefault="00384227" w:rsidP="00384227">
      <w:pPr>
        <w:pStyle w:val="ListParagraph"/>
        <w:numPr>
          <w:ilvl w:val="0"/>
          <w:numId w:val="3"/>
        </w:numPr>
      </w:pPr>
      <w:r>
        <w:t>Supplementation should be done via CRI only for clinical patients, severe hypocalcemia, or hypotensive patients not responsive to fluids and vasopressors</w:t>
      </w:r>
      <w:r>
        <w:br/>
      </w:r>
    </w:p>
    <w:p w:rsidR="00C83E51" w:rsidRDefault="00C83E51" w:rsidP="00C83E51">
      <w:pPr>
        <w:pStyle w:val="ListParagraph"/>
        <w:numPr>
          <w:ilvl w:val="0"/>
          <w:numId w:val="1"/>
        </w:numPr>
      </w:pPr>
      <w:r>
        <w:t>Proposed mechanisms of hypocalcemia include:</w:t>
      </w:r>
    </w:p>
    <w:p w:rsidR="00C83E51" w:rsidRDefault="00C83E51" w:rsidP="00C83E51">
      <w:pPr>
        <w:pStyle w:val="ListParagraph"/>
        <w:numPr>
          <w:ilvl w:val="1"/>
          <w:numId w:val="1"/>
        </w:numPr>
      </w:pPr>
      <w:r>
        <w:t>Intracellular redistribution</w:t>
      </w:r>
    </w:p>
    <w:p w:rsidR="00C83E51" w:rsidRDefault="00C83E51" w:rsidP="00C83E51">
      <w:pPr>
        <w:pStyle w:val="ListParagraph"/>
        <w:numPr>
          <w:ilvl w:val="1"/>
          <w:numId w:val="1"/>
        </w:numPr>
      </w:pPr>
      <w:r>
        <w:t>Hypomagnesemia</w:t>
      </w:r>
    </w:p>
    <w:p w:rsidR="00C83E51" w:rsidRDefault="00C83E51" w:rsidP="00C83E51">
      <w:pPr>
        <w:pStyle w:val="ListParagraph"/>
        <w:numPr>
          <w:ilvl w:val="1"/>
          <w:numId w:val="1"/>
        </w:numPr>
      </w:pPr>
      <w:r>
        <w:t>Alkalosis</w:t>
      </w:r>
    </w:p>
    <w:p w:rsidR="00C83E51" w:rsidRDefault="00C83E51" w:rsidP="00C83E51">
      <w:pPr>
        <w:pStyle w:val="ListParagraph"/>
        <w:numPr>
          <w:ilvl w:val="1"/>
          <w:numId w:val="1"/>
        </w:numPr>
      </w:pPr>
      <w:proofErr w:type="spellStart"/>
      <w:r>
        <w:t>Paratyhroid</w:t>
      </w:r>
      <w:proofErr w:type="spellEnd"/>
      <w:r>
        <w:t xml:space="preserve"> gland suppression</w:t>
      </w:r>
    </w:p>
    <w:p w:rsidR="00C83E51" w:rsidRDefault="00C83E51" w:rsidP="00C83E51">
      <w:pPr>
        <w:pStyle w:val="ListParagraph"/>
        <w:numPr>
          <w:ilvl w:val="1"/>
          <w:numId w:val="1"/>
        </w:numPr>
      </w:pPr>
      <w:proofErr w:type="spellStart"/>
      <w:r>
        <w:t>Vit</w:t>
      </w:r>
      <w:proofErr w:type="spellEnd"/>
      <w:r>
        <w:t xml:space="preserve"> d deficiency</w:t>
      </w:r>
    </w:p>
    <w:p w:rsidR="00C83E51" w:rsidRDefault="00C83E51" w:rsidP="00C83E51">
      <w:pPr>
        <w:pStyle w:val="ListParagraph"/>
        <w:numPr>
          <w:ilvl w:val="1"/>
          <w:numId w:val="1"/>
        </w:numPr>
      </w:pPr>
      <w:r>
        <w:t xml:space="preserve">Impaired response to </w:t>
      </w:r>
      <w:proofErr w:type="spellStart"/>
      <w:r>
        <w:t>vit</w:t>
      </w:r>
      <w:proofErr w:type="spellEnd"/>
      <w:r>
        <w:t xml:space="preserve"> d</w:t>
      </w:r>
    </w:p>
    <w:p w:rsidR="00C83E51" w:rsidRDefault="00C83E51" w:rsidP="00C83E51">
      <w:pPr>
        <w:pStyle w:val="ListParagraph"/>
        <w:numPr>
          <w:ilvl w:val="1"/>
          <w:numId w:val="1"/>
        </w:numPr>
      </w:pPr>
      <w:r>
        <w:t>Elevations in calcitonin precursors</w:t>
      </w:r>
    </w:p>
    <w:p w:rsidR="00C83E51" w:rsidRDefault="00C83E51" w:rsidP="00C83E51">
      <w:pPr>
        <w:pStyle w:val="ListParagraph"/>
        <w:numPr>
          <w:ilvl w:val="1"/>
          <w:numId w:val="1"/>
        </w:numPr>
      </w:pPr>
      <w:r>
        <w:t>Cytokine downregulation of PTH</w:t>
      </w:r>
    </w:p>
    <w:p w:rsidR="00C83E51" w:rsidRDefault="00C83E51" w:rsidP="00C83E51">
      <w:pPr>
        <w:ind w:firstLine="45"/>
      </w:pPr>
    </w:p>
    <w:p w:rsidR="00C83E51" w:rsidRDefault="00C83E51" w:rsidP="00C83E51">
      <w:pPr>
        <w:pStyle w:val="ListParagraph"/>
        <w:numPr>
          <w:ilvl w:val="0"/>
          <w:numId w:val="1"/>
        </w:numPr>
      </w:pPr>
      <w:r>
        <w:t>Hypoparathyroidism</w:t>
      </w:r>
    </w:p>
    <w:p w:rsidR="00C83E51" w:rsidRDefault="00C83E51" w:rsidP="00C83E51">
      <w:pPr>
        <w:pStyle w:val="ListParagraph"/>
        <w:numPr>
          <w:ilvl w:val="1"/>
          <w:numId w:val="1"/>
        </w:numPr>
      </w:pPr>
      <w:r>
        <w:t>Rare as primary disorder</w:t>
      </w:r>
    </w:p>
    <w:p w:rsidR="00C83E51" w:rsidRDefault="00C83E51" w:rsidP="00C83E51">
      <w:pPr>
        <w:pStyle w:val="ListParagraph"/>
        <w:numPr>
          <w:ilvl w:val="1"/>
          <w:numId w:val="1"/>
        </w:numPr>
      </w:pPr>
      <w:r>
        <w:t>Secondary may be seen as part of MODS associated with sepsis</w:t>
      </w:r>
    </w:p>
    <w:p w:rsidR="00D76B02" w:rsidRDefault="00C83E51" w:rsidP="00C83E51">
      <w:pPr>
        <w:pStyle w:val="ListParagraph"/>
        <w:numPr>
          <w:ilvl w:val="1"/>
          <w:numId w:val="1"/>
        </w:numPr>
      </w:pPr>
      <w:r>
        <w:t xml:space="preserve">Cytokines from sepsis may also </w:t>
      </w:r>
      <w:proofErr w:type="spellStart"/>
      <w:r>
        <w:t>downreg</w:t>
      </w:r>
      <w:proofErr w:type="spellEnd"/>
      <w:r>
        <w:t xml:space="preserve"> </w:t>
      </w:r>
      <w:proofErr w:type="spellStart"/>
      <w:r>
        <w:t>Parathyroids</w:t>
      </w:r>
      <w:proofErr w:type="spellEnd"/>
    </w:p>
    <w:p w:rsidR="00C83E51" w:rsidRDefault="00C83E51" w:rsidP="00C83E51">
      <w:pPr>
        <w:pStyle w:val="ListParagraph"/>
        <w:numPr>
          <w:ilvl w:val="1"/>
          <w:numId w:val="1"/>
        </w:numPr>
      </w:pPr>
      <w:r>
        <w:t xml:space="preserve">PTH in septic patients may be normal or elevated, suggesting other </w:t>
      </w:r>
      <w:proofErr w:type="spellStart"/>
      <w:r>
        <w:t>counteregulatory</w:t>
      </w:r>
      <w:proofErr w:type="spellEnd"/>
      <w:r>
        <w:t xml:space="preserve"> mechanisms at play</w:t>
      </w:r>
    </w:p>
    <w:p w:rsidR="00C83E51" w:rsidRDefault="00C83E51" w:rsidP="00C83E51">
      <w:r>
        <w:rPr>
          <w:noProof/>
        </w:rPr>
        <w:drawing>
          <wp:inline distT="0" distB="0" distL="0" distR="0" wp14:anchorId="07E9B049" wp14:editId="2B1C8D8E">
            <wp:extent cx="5943600" cy="2580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2580640"/>
                    </a:xfrm>
                    <a:prstGeom prst="rect">
                      <a:avLst/>
                    </a:prstGeom>
                  </pic:spPr>
                </pic:pic>
              </a:graphicData>
            </a:graphic>
          </wp:inline>
        </w:drawing>
      </w:r>
    </w:p>
    <w:p w:rsidR="00C83E51" w:rsidRDefault="00C83E51" w:rsidP="00C83E51">
      <w:pPr>
        <w:pStyle w:val="ListParagraph"/>
        <w:numPr>
          <w:ilvl w:val="0"/>
          <w:numId w:val="2"/>
        </w:numPr>
      </w:pPr>
      <w:r>
        <w:lastRenderedPageBreak/>
        <w:t>Hypomagnesemia</w:t>
      </w:r>
    </w:p>
    <w:p w:rsidR="00C83E51" w:rsidRDefault="00C83E51" w:rsidP="00C83E51">
      <w:pPr>
        <w:pStyle w:val="ListParagraph"/>
        <w:numPr>
          <w:ilvl w:val="1"/>
          <w:numId w:val="2"/>
        </w:numPr>
      </w:pPr>
      <w:r>
        <w:t>Impairs PTH secretion</w:t>
      </w:r>
    </w:p>
    <w:p w:rsidR="00C83E51" w:rsidRDefault="00C83E51" w:rsidP="00C83E51">
      <w:pPr>
        <w:pStyle w:val="ListParagraph"/>
        <w:numPr>
          <w:ilvl w:val="1"/>
          <w:numId w:val="2"/>
        </w:numPr>
      </w:pPr>
      <w:r>
        <w:t>Induces end-organ PTH resistance</w:t>
      </w:r>
    </w:p>
    <w:p w:rsidR="00C83E51" w:rsidRDefault="00C83E51" w:rsidP="00C83E51">
      <w:pPr>
        <w:pStyle w:val="ListParagraph"/>
        <w:numPr>
          <w:ilvl w:val="1"/>
          <w:numId w:val="2"/>
        </w:numPr>
      </w:pPr>
      <w:r>
        <w:t xml:space="preserve">Decreased activated </w:t>
      </w:r>
      <w:proofErr w:type="spellStart"/>
      <w:r>
        <w:t>vit</w:t>
      </w:r>
      <w:proofErr w:type="spellEnd"/>
      <w:r>
        <w:t xml:space="preserve"> D</w:t>
      </w:r>
    </w:p>
    <w:p w:rsidR="00C83E51" w:rsidRDefault="00C83E51" w:rsidP="00C83E51">
      <w:pPr>
        <w:pStyle w:val="ListParagraph"/>
        <w:numPr>
          <w:ilvl w:val="0"/>
          <w:numId w:val="2"/>
        </w:numPr>
      </w:pPr>
      <w:proofErr w:type="spellStart"/>
      <w:r>
        <w:t>Procalcitonin</w:t>
      </w:r>
      <w:proofErr w:type="spellEnd"/>
      <w:r>
        <w:t xml:space="preserve"> (</w:t>
      </w:r>
      <w:proofErr w:type="spellStart"/>
      <w:r>
        <w:t>ProCT</w:t>
      </w:r>
      <w:proofErr w:type="spellEnd"/>
      <w:r>
        <w:t>)</w:t>
      </w:r>
    </w:p>
    <w:p w:rsidR="00C83E51" w:rsidRDefault="00C83E51" w:rsidP="00C83E51">
      <w:pPr>
        <w:pStyle w:val="ListParagraph"/>
        <w:numPr>
          <w:ilvl w:val="1"/>
          <w:numId w:val="2"/>
        </w:numPr>
      </w:pPr>
      <w:r>
        <w:t>Calcitonin precursor</w:t>
      </w:r>
    </w:p>
    <w:p w:rsidR="00C83E51" w:rsidRDefault="00C83E51" w:rsidP="00C83E51">
      <w:pPr>
        <w:pStyle w:val="ListParagraph"/>
        <w:numPr>
          <w:ilvl w:val="1"/>
          <w:numId w:val="2"/>
        </w:numPr>
      </w:pPr>
      <w:r>
        <w:t xml:space="preserve">Elevated </w:t>
      </w:r>
      <w:proofErr w:type="spellStart"/>
      <w:r>
        <w:t>proCT</w:t>
      </w:r>
      <w:proofErr w:type="spellEnd"/>
      <w:r>
        <w:t xml:space="preserve"> concentrations have been documented in septic patients</w:t>
      </w:r>
    </w:p>
    <w:p w:rsidR="00C83E51" w:rsidRDefault="00C83E51" w:rsidP="00C83E51">
      <w:pPr>
        <w:pStyle w:val="ListParagraph"/>
        <w:numPr>
          <w:ilvl w:val="2"/>
          <w:numId w:val="2"/>
        </w:numPr>
      </w:pPr>
      <w:r>
        <w:t>Correlate to severity of disease in some populations</w:t>
      </w:r>
    </w:p>
    <w:p w:rsidR="00C83E51" w:rsidRDefault="00B0510A" w:rsidP="00C83E51">
      <w:pPr>
        <w:pStyle w:val="ListParagraph"/>
        <w:numPr>
          <w:ilvl w:val="2"/>
          <w:numId w:val="2"/>
        </w:numPr>
      </w:pPr>
      <w:r>
        <w:t xml:space="preserve">Body-side upregulation of </w:t>
      </w:r>
      <w:proofErr w:type="spellStart"/>
      <w:r>
        <w:t>proCT</w:t>
      </w:r>
      <w:proofErr w:type="spellEnd"/>
    </w:p>
    <w:p w:rsidR="00B0510A" w:rsidRDefault="00B0510A" w:rsidP="00B0510A">
      <w:pPr>
        <w:pStyle w:val="ListParagraph"/>
        <w:numPr>
          <w:ilvl w:val="0"/>
          <w:numId w:val="2"/>
        </w:numPr>
      </w:pPr>
      <w:r>
        <w:t>Humans</w:t>
      </w:r>
    </w:p>
    <w:p w:rsidR="00B0510A" w:rsidRDefault="00B0510A" w:rsidP="00B0510A">
      <w:pPr>
        <w:pStyle w:val="ListParagraph"/>
        <w:numPr>
          <w:ilvl w:val="1"/>
          <w:numId w:val="2"/>
        </w:numPr>
      </w:pPr>
      <w:r>
        <w:t>70% of ICU patients had hypocalcemia</w:t>
      </w:r>
    </w:p>
    <w:p w:rsidR="00B0510A" w:rsidRDefault="00B0510A" w:rsidP="00B0510A">
      <w:pPr>
        <w:pStyle w:val="ListParagraph"/>
        <w:numPr>
          <w:ilvl w:val="1"/>
          <w:numId w:val="2"/>
        </w:numPr>
      </w:pPr>
      <w:r>
        <w:t>80% of septic patients</w:t>
      </w:r>
    </w:p>
    <w:p w:rsidR="00B0510A" w:rsidRDefault="00B0510A" w:rsidP="00B0510A">
      <w:pPr>
        <w:pStyle w:val="ListParagraph"/>
        <w:numPr>
          <w:ilvl w:val="1"/>
          <w:numId w:val="2"/>
        </w:numPr>
      </w:pPr>
      <w:r>
        <w:t xml:space="preserve">Higher mortality of </w:t>
      </w:r>
      <w:proofErr w:type="spellStart"/>
      <w:r>
        <w:t>hypocalcemic</w:t>
      </w:r>
      <w:proofErr w:type="spellEnd"/>
      <w:r>
        <w:t xml:space="preserve"> patients</w:t>
      </w:r>
    </w:p>
    <w:p w:rsidR="00812C76" w:rsidRDefault="00812C76" w:rsidP="00B0510A">
      <w:pPr>
        <w:pStyle w:val="ListParagraph"/>
        <w:numPr>
          <w:ilvl w:val="1"/>
          <w:numId w:val="2"/>
        </w:numPr>
      </w:pPr>
      <w:proofErr w:type="spellStart"/>
      <w:r>
        <w:t>ProCT</w:t>
      </w:r>
      <w:proofErr w:type="spellEnd"/>
      <w:r>
        <w:t xml:space="preserve"> can be used to tract pneumonia and stop antibiotics</w:t>
      </w:r>
    </w:p>
    <w:p w:rsidR="00B0510A" w:rsidRDefault="00812C76" w:rsidP="00812C76">
      <w:pPr>
        <w:pStyle w:val="ListParagraph"/>
        <w:numPr>
          <w:ilvl w:val="0"/>
          <w:numId w:val="2"/>
        </w:numPr>
      </w:pPr>
      <w:r>
        <w:t>Veterinary medicine</w:t>
      </w:r>
    </w:p>
    <w:p w:rsidR="00812C76" w:rsidRDefault="00812C76" w:rsidP="00812C76">
      <w:pPr>
        <w:pStyle w:val="ListParagraph"/>
        <w:numPr>
          <w:ilvl w:val="1"/>
          <w:numId w:val="2"/>
        </w:numPr>
      </w:pPr>
      <w:r>
        <w:t>Mostly experimental studies</w:t>
      </w:r>
    </w:p>
    <w:p w:rsidR="00812C76" w:rsidRDefault="00812C76" w:rsidP="00812C76">
      <w:pPr>
        <w:pStyle w:val="ListParagraph"/>
        <w:numPr>
          <w:ilvl w:val="1"/>
          <w:numId w:val="2"/>
        </w:numPr>
      </w:pPr>
      <w:r>
        <w:t xml:space="preserve">Small dog study failed to distinguish sepsis and non-septic SIRS with </w:t>
      </w:r>
      <w:proofErr w:type="spellStart"/>
      <w:r>
        <w:t>proCT</w:t>
      </w:r>
      <w:proofErr w:type="spellEnd"/>
    </w:p>
    <w:p w:rsidR="004204B4" w:rsidRDefault="004204B4" w:rsidP="00812C76">
      <w:pPr>
        <w:pStyle w:val="ListParagraph"/>
        <w:numPr>
          <w:ilvl w:val="1"/>
          <w:numId w:val="2"/>
        </w:numPr>
      </w:pPr>
      <w:r>
        <w:t>Treatment:</w:t>
      </w:r>
    </w:p>
    <w:p w:rsidR="004204B4" w:rsidRDefault="004204B4" w:rsidP="004204B4">
      <w:pPr>
        <w:pStyle w:val="ListParagraph"/>
        <w:numPr>
          <w:ilvl w:val="2"/>
          <w:numId w:val="2"/>
        </w:numPr>
      </w:pPr>
      <w:r>
        <w:t>Experimental studies say that calcium administration increases mortality in septic patients</w:t>
      </w:r>
    </w:p>
    <w:p w:rsidR="004204B4" w:rsidRDefault="004204B4" w:rsidP="004204B4">
      <w:pPr>
        <w:pStyle w:val="ListParagraph"/>
        <w:numPr>
          <w:ilvl w:val="3"/>
          <w:numId w:val="2"/>
        </w:numPr>
      </w:pPr>
      <w:r>
        <w:t>Possibly due to already increase intracellular calcium influx worsened by supplementation resulting in cell death</w:t>
      </w:r>
    </w:p>
    <w:p w:rsidR="004204B4" w:rsidRDefault="004204B4" w:rsidP="004204B4">
      <w:pPr>
        <w:pStyle w:val="ListParagraph"/>
        <w:numPr>
          <w:ilvl w:val="3"/>
          <w:numId w:val="2"/>
        </w:numPr>
      </w:pPr>
      <w:r>
        <w:t>Recommends to pursue fluids and vasopressors FIRST prior to administration of calcium</w:t>
      </w:r>
    </w:p>
    <w:p w:rsidR="004204B4" w:rsidRDefault="004204B4" w:rsidP="004204B4">
      <w:pPr>
        <w:pStyle w:val="ListParagraph"/>
        <w:numPr>
          <w:ilvl w:val="3"/>
          <w:numId w:val="2"/>
        </w:numPr>
      </w:pPr>
      <w:r>
        <w:t>Exceptions</w:t>
      </w:r>
    </w:p>
    <w:p w:rsidR="004204B4" w:rsidRDefault="004204B4" w:rsidP="004204B4">
      <w:pPr>
        <w:pStyle w:val="ListParagraph"/>
        <w:numPr>
          <w:ilvl w:val="4"/>
          <w:numId w:val="2"/>
        </w:numPr>
      </w:pPr>
      <w:r>
        <w:t>Clinical signs of hypocalcemia</w:t>
      </w:r>
    </w:p>
    <w:p w:rsidR="004204B4" w:rsidRDefault="004204B4" w:rsidP="004204B4">
      <w:pPr>
        <w:pStyle w:val="ListParagraph"/>
        <w:numPr>
          <w:ilvl w:val="4"/>
          <w:numId w:val="2"/>
        </w:numPr>
      </w:pPr>
      <w:r>
        <w:t xml:space="preserve">Severely low </w:t>
      </w:r>
      <w:proofErr w:type="spellStart"/>
      <w:r>
        <w:t>iCa</w:t>
      </w:r>
      <w:proofErr w:type="spellEnd"/>
      <w:r>
        <w:t xml:space="preserve"> (&lt;0.75mmol/L)</w:t>
      </w:r>
    </w:p>
    <w:p w:rsidR="004204B4" w:rsidRDefault="004204B4" w:rsidP="004204B4">
      <w:pPr>
        <w:pStyle w:val="ListParagraph"/>
        <w:numPr>
          <w:ilvl w:val="4"/>
          <w:numId w:val="2"/>
        </w:numPr>
      </w:pPr>
      <w:r>
        <w:t>Hypotension unresponsive to fluids and vasopressors</w:t>
      </w:r>
    </w:p>
    <w:p w:rsidR="004204B4" w:rsidRDefault="004204B4" w:rsidP="004204B4">
      <w:pPr>
        <w:pStyle w:val="ListParagraph"/>
        <w:numPr>
          <w:ilvl w:val="3"/>
          <w:numId w:val="2"/>
        </w:numPr>
      </w:pPr>
      <w:r>
        <w:t xml:space="preserve">CRI preferred over bolus due to possible calcitonin release from </w:t>
      </w:r>
      <w:proofErr w:type="spellStart"/>
      <w:r>
        <w:t>bous</w:t>
      </w:r>
      <w:proofErr w:type="spellEnd"/>
    </w:p>
    <w:p w:rsidR="004204B4" w:rsidRDefault="004204B4" w:rsidP="004204B4">
      <w:r>
        <w:rPr>
          <w:noProof/>
        </w:rPr>
        <w:lastRenderedPageBreak/>
        <w:drawing>
          <wp:inline distT="0" distB="0" distL="0" distR="0" wp14:anchorId="31515CCF" wp14:editId="19624678">
            <wp:extent cx="3486150" cy="264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486150" cy="2647950"/>
                    </a:xfrm>
                    <a:prstGeom prst="rect">
                      <a:avLst/>
                    </a:prstGeom>
                  </pic:spPr>
                </pic:pic>
              </a:graphicData>
            </a:graphic>
          </wp:inline>
        </w:drawing>
      </w:r>
    </w:p>
    <w:p w:rsidR="00384227" w:rsidRDefault="00384227">
      <w:r>
        <w:br w:type="page"/>
      </w:r>
    </w:p>
    <w:p w:rsidR="004204B4" w:rsidRDefault="004204B4" w:rsidP="004204B4"/>
    <w:p w:rsidR="00384227" w:rsidRDefault="00384227" w:rsidP="004204B4">
      <w:r>
        <w:t>Questions</w:t>
      </w:r>
    </w:p>
    <w:p w:rsidR="00384227" w:rsidRDefault="00384227" w:rsidP="004204B4"/>
    <w:p w:rsidR="00384227" w:rsidRDefault="00384227" w:rsidP="00384227">
      <w:pPr>
        <w:pStyle w:val="ListParagraph"/>
        <w:numPr>
          <w:ilvl w:val="0"/>
          <w:numId w:val="4"/>
        </w:numPr>
      </w:pPr>
      <w:r>
        <w:t xml:space="preserve">You have a patient with hypocalcemia </w:t>
      </w:r>
      <w:proofErr w:type="gramStart"/>
      <w:r>
        <w:t xml:space="preserve">(0.84 </w:t>
      </w:r>
      <w:proofErr w:type="spellStart"/>
      <w:r>
        <w:t>mmol</w:t>
      </w:r>
      <w:proofErr w:type="spellEnd"/>
      <w:r>
        <w:t>/</w:t>
      </w:r>
      <w:proofErr w:type="spellStart"/>
      <w:r>
        <w:t>dL</w:t>
      </w:r>
      <w:proofErr w:type="spellEnd"/>
      <w:r>
        <w:t>)</w:t>
      </w:r>
      <w:proofErr w:type="gramEnd"/>
      <w:r>
        <w:t xml:space="preserve">, hypotension (MAP 56) and suspected septic abdomen.  Patient does not have cardiovascular disease and has not yet received treatments. What the order of steps that you should pursue to correct hypotension.  </w:t>
      </w:r>
    </w:p>
    <w:p w:rsidR="00384227" w:rsidRDefault="00384227" w:rsidP="00384227">
      <w:pPr>
        <w:pStyle w:val="ListParagraph"/>
        <w:numPr>
          <w:ilvl w:val="1"/>
          <w:numId w:val="4"/>
        </w:numPr>
      </w:pPr>
      <w:r>
        <w:t>IV fluid bolus, calcium gluconate, vasopressor therapy</w:t>
      </w:r>
    </w:p>
    <w:p w:rsidR="00384227" w:rsidRDefault="00384227" w:rsidP="00384227">
      <w:pPr>
        <w:pStyle w:val="ListParagraph"/>
        <w:numPr>
          <w:ilvl w:val="1"/>
          <w:numId w:val="4"/>
        </w:numPr>
      </w:pPr>
      <w:r>
        <w:t>Calcium gluconate, IV fluid bolus, vasopressor therapy</w:t>
      </w:r>
    </w:p>
    <w:p w:rsidR="00384227" w:rsidRDefault="00384227" w:rsidP="00384227">
      <w:pPr>
        <w:pStyle w:val="ListParagraph"/>
        <w:numPr>
          <w:ilvl w:val="1"/>
          <w:numId w:val="4"/>
        </w:numPr>
      </w:pPr>
      <w:r>
        <w:t>Vasopressor therapy, IV fluid bolus, calcium gluconate</w:t>
      </w:r>
    </w:p>
    <w:p w:rsidR="00384227" w:rsidRDefault="00384227" w:rsidP="00384227">
      <w:pPr>
        <w:pStyle w:val="ListParagraph"/>
        <w:numPr>
          <w:ilvl w:val="1"/>
          <w:numId w:val="4"/>
        </w:numPr>
      </w:pPr>
      <w:r>
        <w:t xml:space="preserve">IV fluid bolus, Vasopressor </w:t>
      </w:r>
      <w:proofErr w:type="spellStart"/>
      <w:r>
        <w:t>therepy</w:t>
      </w:r>
      <w:proofErr w:type="spellEnd"/>
      <w:r>
        <w:t>, calcium gluconate</w:t>
      </w:r>
      <w:r>
        <w:br/>
      </w:r>
    </w:p>
    <w:p w:rsidR="00384227" w:rsidRDefault="00384227" w:rsidP="00384227">
      <w:pPr>
        <w:pStyle w:val="ListParagraph"/>
        <w:numPr>
          <w:ilvl w:val="0"/>
          <w:numId w:val="4"/>
        </w:numPr>
      </w:pPr>
      <w:r>
        <w:t>True/False: Supplementation of calcium in a septic patient may worsen outcomes by increasing intracellular calcium influx and cell death</w:t>
      </w:r>
      <w:r>
        <w:br/>
      </w:r>
    </w:p>
    <w:p w:rsidR="00384227" w:rsidRDefault="00384227" w:rsidP="00384227">
      <w:pPr>
        <w:pStyle w:val="ListParagraph"/>
        <w:numPr>
          <w:ilvl w:val="0"/>
          <w:numId w:val="4"/>
        </w:numPr>
      </w:pPr>
      <w:r>
        <w:t>Which of the following is a proposed mechanism of ionized hypocalcemia in septic patients?</w:t>
      </w:r>
    </w:p>
    <w:p w:rsidR="00384227" w:rsidRDefault="00384227" w:rsidP="00384227">
      <w:pPr>
        <w:pStyle w:val="ListParagraph"/>
        <w:numPr>
          <w:ilvl w:val="1"/>
          <w:numId w:val="4"/>
        </w:numPr>
      </w:pPr>
      <w:r>
        <w:t>Cytokine mediated upregulation of PTH</w:t>
      </w:r>
    </w:p>
    <w:p w:rsidR="00384227" w:rsidRDefault="00384227" w:rsidP="00384227">
      <w:pPr>
        <w:pStyle w:val="ListParagraph"/>
        <w:numPr>
          <w:ilvl w:val="1"/>
          <w:numId w:val="4"/>
        </w:numPr>
      </w:pPr>
      <w:r>
        <w:t>Reduced GFR</w:t>
      </w:r>
    </w:p>
    <w:p w:rsidR="00384227" w:rsidRDefault="00384227" w:rsidP="00384227">
      <w:pPr>
        <w:pStyle w:val="ListParagraph"/>
        <w:numPr>
          <w:ilvl w:val="1"/>
          <w:numId w:val="4"/>
        </w:numPr>
      </w:pPr>
      <w:proofErr w:type="spellStart"/>
      <w:r>
        <w:t>Hypermagnasemia</w:t>
      </w:r>
      <w:proofErr w:type="spellEnd"/>
      <w:r>
        <w:t xml:space="preserve"> resulting in reduced parathyroid gland activity</w:t>
      </w:r>
    </w:p>
    <w:p w:rsidR="002D0B8C" w:rsidRDefault="002D0B8C" w:rsidP="00384227">
      <w:pPr>
        <w:pStyle w:val="ListParagraph"/>
        <w:numPr>
          <w:ilvl w:val="1"/>
          <w:numId w:val="4"/>
        </w:numPr>
      </w:pPr>
      <w:r>
        <w:t>Lactate chelation of ionized calcium</w:t>
      </w:r>
    </w:p>
    <w:p w:rsidR="002D0B8C" w:rsidRDefault="002D0B8C">
      <w:r>
        <w:br w:type="page"/>
      </w:r>
    </w:p>
    <w:p w:rsidR="002D0B8C" w:rsidRDefault="002D0B8C" w:rsidP="002D0B8C">
      <w:r>
        <w:lastRenderedPageBreak/>
        <w:t>Answers</w:t>
      </w:r>
    </w:p>
    <w:p w:rsidR="002D0B8C" w:rsidRDefault="002D0B8C" w:rsidP="002D0B8C"/>
    <w:p w:rsidR="002D0B8C" w:rsidRDefault="002D0B8C" w:rsidP="002D0B8C">
      <w:pPr>
        <w:pStyle w:val="ListParagraph"/>
        <w:numPr>
          <w:ilvl w:val="0"/>
          <w:numId w:val="5"/>
        </w:numPr>
      </w:pPr>
      <w:r>
        <w:t xml:space="preserve">You have a patient with hypocalcemia </w:t>
      </w:r>
      <w:proofErr w:type="gramStart"/>
      <w:r>
        <w:t xml:space="preserve">(0.84 </w:t>
      </w:r>
      <w:proofErr w:type="spellStart"/>
      <w:r>
        <w:t>mmol</w:t>
      </w:r>
      <w:proofErr w:type="spellEnd"/>
      <w:r>
        <w:t>/</w:t>
      </w:r>
      <w:proofErr w:type="spellStart"/>
      <w:r>
        <w:t>dL</w:t>
      </w:r>
      <w:proofErr w:type="spellEnd"/>
      <w:r>
        <w:t>)</w:t>
      </w:r>
      <w:proofErr w:type="gramEnd"/>
      <w:r>
        <w:t xml:space="preserve">, hypotension (MAP 56) and suspected septic abdomen.  Patient does not have cardiovascular disease and has not yet received treatments. What the order of steps that you should pursue to correct hypotension.  </w:t>
      </w:r>
    </w:p>
    <w:p w:rsidR="002D0B8C" w:rsidRDefault="002D0B8C" w:rsidP="002D0B8C">
      <w:pPr>
        <w:pStyle w:val="ListParagraph"/>
        <w:numPr>
          <w:ilvl w:val="1"/>
          <w:numId w:val="5"/>
        </w:numPr>
      </w:pPr>
      <w:r>
        <w:t>IV fluid bolus, calcium gluconate, vasopressor therapy</w:t>
      </w:r>
    </w:p>
    <w:p w:rsidR="002D0B8C" w:rsidRDefault="002D0B8C" w:rsidP="002D0B8C">
      <w:pPr>
        <w:pStyle w:val="ListParagraph"/>
        <w:numPr>
          <w:ilvl w:val="1"/>
          <w:numId w:val="5"/>
        </w:numPr>
      </w:pPr>
      <w:r>
        <w:t>Calcium gluconate, IV fluid bolus, vasopressor therapy</w:t>
      </w:r>
    </w:p>
    <w:p w:rsidR="002D0B8C" w:rsidRDefault="002D0B8C" w:rsidP="002D0B8C">
      <w:pPr>
        <w:pStyle w:val="ListParagraph"/>
        <w:numPr>
          <w:ilvl w:val="1"/>
          <w:numId w:val="5"/>
        </w:numPr>
      </w:pPr>
      <w:r>
        <w:t>Vasopressor therapy, IV fluid bolus, calcium gluconate</w:t>
      </w:r>
    </w:p>
    <w:p w:rsidR="002D0B8C" w:rsidRPr="002D0B8C" w:rsidRDefault="002D0B8C" w:rsidP="002D0B8C">
      <w:pPr>
        <w:pStyle w:val="ListParagraph"/>
        <w:numPr>
          <w:ilvl w:val="1"/>
          <w:numId w:val="5"/>
        </w:numPr>
        <w:rPr>
          <w:b/>
        </w:rPr>
      </w:pPr>
      <w:r w:rsidRPr="002D0B8C">
        <w:rPr>
          <w:b/>
        </w:rPr>
        <w:t xml:space="preserve">IV fluid bolus, Vasopressor </w:t>
      </w:r>
      <w:proofErr w:type="spellStart"/>
      <w:r w:rsidRPr="002D0B8C">
        <w:rPr>
          <w:b/>
        </w:rPr>
        <w:t>therepy</w:t>
      </w:r>
      <w:proofErr w:type="spellEnd"/>
      <w:r w:rsidRPr="002D0B8C">
        <w:rPr>
          <w:b/>
        </w:rPr>
        <w:t>, calcium gluconate</w:t>
      </w:r>
      <w:r w:rsidRPr="002D0B8C">
        <w:rPr>
          <w:b/>
        </w:rPr>
        <w:br/>
      </w:r>
    </w:p>
    <w:p w:rsidR="002D0B8C" w:rsidRDefault="002D0B8C" w:rsidP="002D0B8C">
      <w:pPr>
        <w:pStyle w:val="ListParagraph"/>
        <w:numPr>
          <w:ilvl w:val="0"/>
          <w:numId w:val="5"/>
        </w:numPr>
      </w:pPr>
      <w:r w:rsidRPr="002D0B8C">
        <w:rPr>
          <w:b/>
        </w:rPr>
        <w:t>True</w:t>
      </w:r>
      <w:r>
        <w:t>/False: Supplementation of calcium in a septic patient may worsen outcomes by increasing intracellular calcium influx and cell death</w:t>
      </w:r>
      <w:bookmarkStart w:id="0" w:name="_GoBack"/>
      <w:bookmarkEnd w:id="0"/>
      <w:r>
        <w:br/>
      </w:r>
    </w:p>
    <w:p w:rsidR="002D0B8C" w:rsidRDefault="002D0B8C" w:rsidP="002D0B8C">
      <w:pPr>
        <w:pStyle w:val="ListParagraph"/>
        <w:numPr>
          <w:ilvl w:val="0"/>
          <w:numId w:val="5"/>
        </w:numPr>
      </w:pPr>
      <w:r>
        <w:t>Which of the following is a proposed mechanism of ionized hypocalcemia in septic patients?</w:t>
      </w:r>
    </w:p>
    <w:p w:rsidR="002D0B8C" w:rsidRDefault="002D0B8C" w:rsidP="002D0B8C">
      <w:pPr>
        <w:pStyle w:val="ListParagraph"/>
        <w:numPr>
          <w:ilvl w:val="1"/>
          <w:numId w:val="5"/>
        </w:numPr>
      </w:pPr>
      <w:r>
        <w:t>Cytokine mediated upregulation of PTH</w:t>
      </w:r>
    </w:p>
    <w:p w:rsidR="002D0B8C" w:rsidRDefault="002D0B8C" w:rsidP="002D0B8C">
      <w:pPr>
        <w:pStyle w:val="ListParagraph"/>
        <w:numPr>
          <w:ilvl w:val="1"/>
          <w:numId w:val="5"/>
        </w:numPr>
      </w:pPr>
      <w:r>
        <w:t>Reduced GFR</w:t>
      </w:r>
    </w:p>
    <w:p w:rsidR="002D0B8C" w:rsidRDefault="002D0B8C" w:rsidP="002D0B8C">
      <w:pPr>
        <w:pStyle w:val="ListParagraph"/>
        <w:numPr>
          <w:ilvl w:val="1"/>
          <w:numId w:val="5"/>
        </w:numPr>
      </w:pPr>
      <w:proofErr w:type="spellStart"/>
      <w:r>
        <w:t>Hypermagnasemia</w:t>
      </w:r>
      <w:proofErr w:type="spellEnd"/>
      <w:r>
        <w:t xml:space="preserve"> resulting in reduced parathyroid gland activity</w:t>
      </w:r>
    </w:p>
    <w:p w:rsidR="002D0B8C" w:rsidRPr="002D0B8C" w:rsidRDefault="002D0B8C" w:rsidP="002D0B8C">
      <w:pPr>
        <w:pStyle w:val="ListParagraph"/>
        <w:numPr>
          <w:ilvl w:val="1"/>
          <w:numId w:val="5"/>
        </w:numPr>
        <w:rPr>
          <w:b/>
        </w:rPr>
      </w:pPr>
      <w:r w:rsidRPr="002D0B8C">
        <w:rPr>
          <w:b/>
        </w:rPr>
        <w:t>Lactate chelation of ionized calcium</w:t>
      </w:r>
    </w:p>
    <w:p w:rsidR="00384227" w:rsidRDefault="00384227" w:rsidP="002D0B8C">
      <w:pPr>
        <w:pStyle w:val="ListParagraph"/>
        <w:ind w:left="1440"/>
      </w:pPr>
    </w:p>
    <w:sectPr w:rsidR="003842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651B7"/>
    <w:multiLevelType w:val="hybridMultilevel"/>
    <w:tmpl w:val="34E81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8A0DB6"/>
    <w:multiLevelType w:val="hybridMultilevel"/>
    <w:tmpl w:val="AB6CDA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2154E4"/>
    <w:multiLevelType w:val="hybridMultilevel"/>
    <w:tmpl w:val="FF169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711CE5"/>
    <w:multiLevelType w:val="hybridMultilevel"/>
    <w:tmpl w:val="AB6CDA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656FC6"/>
    <w:multiLevelType w:val="hybridMultilevel"/>
    <w:tmpl w:val="7E8AED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E51"/>
    <w:rsid w:val="002D0B8C"/>
    <w:rsid w:val="00384227"/>
    <w:rsid w:val="004204B4"/>
    <w:rsid w:val="006745CE"/>
    <w:rsid w:val="00812C76"/>
    <w:rsid w:val="00AF37AE"/>
    <w:rsid w:val="00B0510A"/>
    <w:rsid w:val="00C83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83E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83E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3E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83E51"/>
    <w:rPr>
      <w:rFonts w:ascii="Times New Roman" w:eastAsia="Times New Roman" w:hAnsi="Times New Roman" w:cs="Times New Roman"/>
      <w:b/>
      <w:bCs/>
      <w:sz w:val="27"/>
      <w:szCs w:val="27"/>
    </w:rPr>
  </w:style>
  <w:style w:type="character" w:customStyle="1" w:styleId="ho">
    <w:name w:val="ho"/>
    <w:basedOn w:val="DefaultParagraphFont"/>
    <w:rsid w:val="00C83E51"/>
  </w:style>
  <w:style w:type="character" w:customStyle="1" w:styleId="gd">
    <w:name w:val="gd"/>
    <w:basedOn w:val="DefaultParagraphFont"/>
    <w:rsid w:val="00C83E51"/>
  </w:style>
  <w:style w:type="character" w:customStyle="1" w:styleId="g3">
    <w:name w:val="g3"/>
    <w:basedOn w:val="DefaultParagraphFont"/>
    <w:rsid w:val="00C83E51"/>
  </w:style>
  <w:style w:type="character" w:customStyle="1" w:styleId="hb">
    <w:name w:val="hb"/>
    <w:basedOn w:val="DefaultParagraphFont"/>
    <w:rsid w:val="00C83E51"/>
  </w:style>
  <w:style w:type="character" w:customStyle="1" w:styleId="g2">
    <w:name w:val="g2"/>
    <w:basedOn w:val="DefaultParagraphFont"/>
    <w:rsid w:val="00C83E51"/>
  </w:style>
  <w:style w:type="paragraph" w:customStyle="1" w:styleId="m-4434934145574806610gmail-msolistparagraph">
    <w:name w:val="m_-4434934145574806610gmail-msolistparagraph"/>
    <w:basedOn w:val="Normal"/>
    <w:rsid w:val="00C83E5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3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E51"/>
    <w:rPr>
      <w:rFonts w:ascii="Tahoma" w:hAnsi="Tahoma" w:cs="Tahoma"/>
      <w:sz w:val="16"/>
      <w:szCs w:val="16"/>
    </w:rPr>
  </w:style>
  <w:style w:type="paragraph" w:styleId="ListParagraph">
    <w:name w:val="List Paragraph"/>
    <w:basedOn w:val="Normal"/>
    <w:uiPriority w:val="34"/>
    <w:qFormat/>
    <w:rsid w:val="00C83E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83E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83E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3E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83E51"/>
    <w:rPr>
      <w:rFonts w:ascii="Times New Roman" w:eastAsia="Times New Roman" w:hAnsi="Times New Roman" w:cs="Times New Roman"/>
      <w:b/>
      <w:bCs/>
      <w:sz w:val="27"/>
      <w:szCs w:val="27"/>
    </w:rPr>
  </w:style>
  <w:style w:type="character" w:customStyle="1" w:styleId="ho">
    <w:name w:val="ho"/>
    <w:basedOn w:val="DefaultParagraphFont"/>
    <w:rsid w:val="00C83E51"/>
  </w:style>
  <w:style w:type="character" w:customStyle="1" w:styleId="gd">
    <w:name w:val="gd"/>
    <w:basedOn w:val="DefaultParagraphFont"/>
    <w:rsid w:val="00C83E51"/>
  </w:style>
  <w:style w:type="character" w:customStyle="1" w:styleId="g3">
    <w:name w:val="g3"/>
    <w:basedOn w:val="DefaultParagraphFont"/>
    <w:rsid w:val="00C83E51"/>
  </w:style>
  <w:style w:type="character" w:customStyle="1" w:styleId="hb">
    <w:name w:val="hb"/>
    <w:basedOn w:val="DefaultParagraphFont"/>
    <w:rsid w:val="00C83E51"/>
  </w:style>
  <w:style w:type="character" w:customStyle="1" w:styleId="g2">
    <w:name w:val="g2"/>
    <w:basedOn w:val="DefaultParagraphFont"/>
    <w:rsid w:val="00C83E51"/>
  </w:style>
  <w:style w:type="paragraph" w:customStyle="1" w:styleId="m-4434934145574806610gmail-msolistparagraph">
    <w:name w:val="m_-4434934145574806610gmail-msolistparagraph"/>
    <w:basedOn w:val="Normal"/>
    <w:rsid w:val="00C83E5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3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E51"/>
    <w:rPr>
      <w:rFonts w:ascii="Tahoma" w:hAnsi="Tahoma" w:cs="Tahoma"/>
      <w:sz w:val="16"/>
      <w:szCs w:val="16"/>
    </w:rPr>
  </w:style>
  <w:style w:type="paragraph" w:styleId="ListParagraph">
    <w:name w:val="List Paragraph"/>
    <w:basedOn w:val="Normal"/>
    <w:uiPriority w:val="34"/>
    <w:qFormat/>
    <w:rsid w:val="00C83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028326">
      <w:bodyDiv w:val="1"/>
      <w:marLeft w:val="0"/>
      <w:marRight w:val="0"/>
      <w:marTop w:val="0"/>
      <w:marBottom w:val="0"/>
      <w:divBdr>
        <w:top w:val="none" w:sz="0" w:space="0" w:color="auto"/>
        <w:left w:val="none" w:sz="0" w:space="0" w:color="auto"/>
        <w:bottom w:val="none" w:sz="0" w:space="0" w:color="auto"/>
        <w:right w:val="none" w:sz="0" w:space="0" w:color="auto"/>
      </w:divBdr>
      <w:divsChild>
        <w:div w:id="973294451">
          <w:marLeft w:val="0"/>
          <w:marRight w:val="0"/>
          <w:marTop w:val="0"/>
          <w:marBottom w:val="0"/>
          <w:divBdr>
            <w:top w:val="none" w:sz="0" w:space="0" w:color="auto"/>
            <w:left w:val="none" w:sz="0" w:space="0" w:color="auto"/>
            <w:bottom w:val="none" w:sz="0" w:space="0" w:color="auto"/>
            <w:right w:val="none" w:sz="0" w:space="0" w:color="auto"/>
          </w:divBdr>
          <w:divsChild>
            <w:div w:id="431819468">
              <w:marLeft w:val="0"/>
              <w:marRight w:val="0"/>
              <w:marTop w:val="0"/>
              <w:marBottom w:val="0"/>
              <w:divBdr>
                <w:top w:val="none" w:sz="0" w:space="0" w:color="auto"/>
                <w:left w:val="none" w:sz="0" w:space="0" w:color="auto"/>
                <w:bottom w:val="none" w:sz="0" w:space="0" w:color="auto"/>
                <w:right w:val="none" w:sz="0" w:space="0" w:color="auto"/>
              </w:divBdr>
              <w:divsChild>
                <w:div w:id="596254452">
                  <w:marLeft w:val="0"/>
                  <w:marRight w:val="0"/>
                  <w:marTop w:val="0"/>
                  <w:marBottom w:val="0"/>
                  <w:divBdr>
                    <w:top w:val="none" w:sz="0" w:space="0" w:color="auto"/>
                    <w:left w:val="none" w:sz="0" w:space="0" w:color="auto"/>
                    <w:bottom w:val="none" w:sz="0" w:space="0" w:color="auto"/>
                    <w:right w:val="none" w:sz="0" w:space="0" w:color="auto"/>
                  </w:divBdr>
                  <w:divsChild>
                    <w:div w:id="76272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99981">
          <w:marLeft w:val="0"/>
          <w:marRight w:val="0"/>
          <w:marTop w:val="0"/>
          <w:marBottom w:val="0"/>
          <w:divBdr>
            <w:top w:val="none" w:sz="0" w:space="0" w:color="auto"/>
            <w:left w:val="none" w:sz="0" w:space="0" w:color="auto"/>
            <w:bottom w:val="none" w:sz="0" w:space="0" w:color="auto"/>
            <w:right w:val="none" w:sz="0" w:space="0" w:color="auto"/>
          </w:divBdr>
          <w:divsChild>
            <w:div w:id="2005936293">
              <w:marLeft w:val="0"/>
              <w:marRight w:val="0"/>
              <w:marTop w:val="0"/>
              <w:marBottom w:val="0"/>
              <w:divBdr>
                <w:top w:val="none" w:sz="0" w:space="0" w:color="auto"/>
                <w:left w:val="none" w:sz="0" w:space="0" w:color="auto"/>
                <w:bottom w:val="none" w:sz="0" w:space="0" w:color="auto"/>
                <w:right w:val="none" w:sz="0" w:space="0" w:color="auto"/>
              </w:divBdr>
              <w:divsChild>
                <w:div w:id="316420726">
                  <w:marLeft w:val="0"/>
                  <w:marRight w:val="0"/>
                  <w:marTop w:val="0"/>
                  <w:marBottom w:val="0"/>
                  <w:divBdr>
                    <w:top w:val="none" w:sz="0" w:space="0" w:color="auto"/>
                    <w:left w:val="none" w:sz="0" w:space="0" w:color="auto"/>
                    <w:bottom w:val="none" w:sz="0" w:space="0" w:color="auto"/>
                    <w:right w:val="none" w:sz="0" w:space="0" w:color="auto"/>
                  </w:divBdr>
                  <w:divsChild>
                    <w:div w:id="1823042168">
                      <w:marLeft w:val="0"/>
                      <w:marRight w:val="0"/>
                      <w:marTop w:val="0"/>
                      <w:marBottom w:val="0"/>
                      <w:divBdr>
                        <w:top w:val="none" w:sz="0" w:space="0" w:color="auto"/>
                        <w:left w:val="none" w:sz="0" w:space="0" w:color="auto"/>
                        <w:bottom w:val="none" w:sz="0" w:space="0" w:color="auto"/>
                        <w:right w:val="none" w:sz="0" w:space="0" w:color="auto"/>
                      </w:divBdr>
                      <w:divsChild>
                        <w:div w:id="1696926090">
                          <w:marLeft w:val="0"/>
                          <w:marRight w:val="0"/>
                          <w:marTop w:val="0"/>
                          <w:marBottom w:val="0"/>
                          <w:divBdr>
                            <w:top w:val="none" w:sz="0" w:space="0" w:color="auto"/>
                            <w:left w:val="none" w:sz="0" w:space="0" w:color="auto"/>
                            <w:bottom w:val="none" w:sz="0" w:space="0" w:color="auto"/>
                            <w:right w:val="none" w:sz="0" w:space="0" w:color="auto"/>
                          </w:divBdr>
                          <w:divsChild>
                            <w:div w:id="729890342">
                              <w:marLeft w:val="0"/>
                              <w:marRight w:val="0"/>
                              <w:marTop w:val="0"/>
                              <w:marBottom w:val="0"/>
                              <w:divBdr>
                                <w:top w:val="none" w:sz="0" w:space="0" w:color="auto"/>
                                <w:left w:val="none" w:sz="0" w:space="0" w:color="auto"/>
                                <w:bottom w:val="none" w:sz="0" w:space="0" w:color="auto"/>
                                <w:right w:val="none" w:sz="0" w:space="0" w:color="auto"/>
                              </w:divBdr>
                              <w:divsChild>
                                <w:div w:id="63990215">
                                  <w:marLeft w:val="0"/>
                                  <w:marRight w:val="0"/>
                                  <w:marTop w:val="0"/>
                                  <w:marBottom w:val="0"/>
                                  <w:divBdr>
                                    <w:top w:val="none" w:sz="0" w:space="0" w:color="auto"/>
                                    <w:left w:val="none" w:sz="0" w:space="0" w:color="auto"/>
                                    <w:bottom w:val="none" w:sz="0" w:space="0" w:color="auto"/>
                                    <w:right w:val="none" w:sz="0" w:space="0" w:color="auto"/>
                                  </w:divBdr>
                                  <w:divsChild>
                                    <w:div w:id="1353913953">
                                      <w:marLeft w:val="0"/>
                                      <w:marRight w:val="0"/>
                                      <w:marTop w:val="0"/>
                                      <w:marBottom w:val="0"/>
                                      <w:divBdr>
                                        <w:top w:val="none" w:sz="0" w:space="0" w:color="auto"/>
                                        <w:left w:val="none" w:sz="0" w:space="0" w:color="auto"/>
                                        <w:bottom w:val="none" w:sz="0" w:space="0" w:color="auto"/>
                                        <w:right w:val="none" w:sz="0" w:space="0" w:color="auto"/>
                                      </w:divBdr>
                                      <w:divsChild>
                                        <w:div w:id="1142694319">
                                          <w:marLeft w:val="0"/>
                                          <w:marRight w:val="0"/>
                                          <w:marTop w:val="0"/>
                                          <w:marBottom w:val="0"/>
                                          <w:divBdr>
                                            <w:top w:val="none" w:sz="0" w:space="0" w:color="auto"/>
                                            <w:left w:val="none" w:sz="0" w:space="0" w:color="auto"/>
                                            <w:bottom w:val="none" w:sz="0" w:space="0" w:color="auto"/>
                                            <w:right w:val="none" w:sz="0" w:space="0" w:color="auto"/>
                                          </w:divBdr>
                                          <w:divsChild>
                                            <w:div w:id="819614143">
                                              <w:marLeft w:val="0"/>
                                              <w:marRight w:val="0"/>
                                              <w:marTop w:val="0"/>
                                              <w:marBottom w:val="0"/>
                                              <w:divBdr>
                                                <w:top w:val="none" w:sz="0" w:space="0" w:color="auto"/>
                                                <w:left w:val="none" w:sz="0" w:space="0" w:color="auto"/>
                                                <w:bottom w:val="none" w:sz="0" w:space="0" w:color="auto"/>
                                                <w:right w:val="none" w:sz="0" w:space="0" w:color="auto"/>
                                              </w:divBdr>
                                              <w:divsChild>
                                                <w:div w:id="175115039">
                                                  <w:marLeft w:val="0"/>
                                                  <w:marRight w:val="0"/>
                                                  <w:marTop w:val="0"/>
                                                  <w:marBottom w:val="0"/>
                                                  <w:divBdr>
                                                    <w:top w:val="none" w:sz="0" w:space="0" w:color="auto"/>
                                                    <w:left w:val="none" w:sz="0" w:space="0" w:color="auto"/>
                                                    <w:bottom w:val="none" w:sz="0" w:space="0" w:color="auto"/>
                                                    <w:right w:val="none" w:sz="0" w:space="0" w:color="auto"/>
                                                  </w:divBdr>
                                                </w:div>
                                              </w:divsChild>
                                            </w:div>
                                            <w:div w:id="2033024781">
                                              <w:marLeft w:val="0"/>
                                              <w:marRight w:val="0"/>
                                              <w:marTop w:val="0"/>
                                              <w:marBottom w:val="0"/>
                                              <w:divBdr>
                                                <w:top w:val="none" w:sz="0" w:space="0" w:color="auto"/>
                                                <w:left w:val="none" w:sz="0" w:space="0" w:color="auto"/>
                                                <w:bottom w:val="none" w:sz="0" w:space="0" w:color="auto"/>
                                                <w:right w:val="none" w:sz="0" w:space="0" w:color="auto"/>
                                              </w:divBdr>
                                              <w:divsChild>
                                                <w:div w:id="1308515604">
                                                  <w:marLeft w:val="0"/>
                                                  <w:marRight w:val="0"/>
                                                  <w:marTop w:val="0"/>
                                                  <w:marBottom w:val="0"/>
                                                  <w:divBdr>
                                                    <w:top w:val="none" w:sz="0" w:space="0" w:color="auto"/>
                                                    <w:left w:val="none" w:sz="0" w:space="0" w:color="auto"/>
                                                    <w:bottom w:val="none" w:sz="0" w:space="0" w:color="auto"/>
                                                    <w:right w:val="none" w:sz="0" w:space="0" w:color="auto"/>
                                                  </w:divBdr>
                                                  <w:divsChild>
                                                    <w:div w:id="96642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8882223">
          <w:marLeft w:val="0"/>
          <w:marRight w:val="0"/>
          <w:marTop w:val="0"/>
          <w:marBottom w:val="0"/>
          <w:divBdr>
            <w:top w:val="none" w:sz="0" w:space="0" w:color="auto"/>
            <w:left w:val="none" w:sz="0" w:space="0" w:color="auto"/>
            <w:bottom w:val="none" w:sz="0" w:space="0" w:color="auto"/>
            <w:right w:val="none" w:sz="0" w:space="0" w:color="auto"/>
          </w:divBdr>
          <w:divsChild>
            <w:div w:id="1210603819">
              <w:marLeft w:val="0"/>
              <w:marRight w:val="0"/>
              <w:marTop w:val="0"/>
              <w:marBottom w:val="0"/>
              <w:divBdr>
                <w:top w:val="none" w:sz="0" w:space="0" w:color="auto"/>
                <w:left w:val="none" w:sz="0" w:space="0" w:color="auto"/>
                <w:bottom w:val="none" w:sz="0" w:space="0" w:color="auto"/>
                <w:right w:val="none" w:sz="0" w:space="0" w:color="auto"/>
              </w:divBdr>
            </w:div>
            <w:div w:id="1574730896">
              <w:marLeft w:val="0"/>
              <w:marRight w:val="0"/>
              <w:marTop w:val="0"/>
              <w:marBottom w:val="0"/>
              <w:divBdr>
                <w:top w:val="none" w:sz="0" w:space="0" w:color="auto"/>
                <w:left w:val="none" w:sz="0" w:space="0" w:color="auto"/>
                <w:bottom w:val="none" w:sz="0" w:space="0" w:color="auto"/>
                <w:right w:val="none" w:sz="0" w:space="0" w:color="auto"/>
              </w:divBdr>
            </w:div>
          </w:divsChild>
        </w:div>
        <w:div w:id="2104107549">
          <w:marLeft w:val="0"/>
          <w:marRight w:val="0"/>
          <w:marTop w:val="0"/>
          <w:marBottom w:val="0"/>
          <w:divBdr>
            <w:top w:val="none" w:sz="0" w:space="0" w:color="auto"/>
            <w:left w:val="none" w:sz="0" w:space="0" w:color="auto"/>
            <w:bottom w:val="none" w:sz="0" w:space="0" w:color="auto"/>
            <w:right w:val="none" w:sz="0" w:space="0" w:color="auto"/>
          </w:divBdr>
          <w:divsChild>
            <w:div w:id="1964535772">
              <w:marLeft w:val="0"/>
              <w:marRight w:val="0"/>
              <w:marTop w:val="0"/>
              <w:marBottom w:val="0"/>
              <w:divBdr>
                <w:top w:val="none" w:sz="0" w:space="0" w:color="auto"/>
                <w:left w:val="none" w:sz="0" w:space="0" w:color="auto"/>
                <w:bottom w:val="none" w:sz="0" w:space="0" w:color="auto"/>
                <w:right w:val="none" w:sz="0" w:space="0" w:color="auto"/>
              </w:divBdr>
              <w:divsChild>
                <w:div w:id="180881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Zager</dc:creator>
  <cp:lastModifiedBy>Erik Zager</cp:lastModifiedBy>
  <cp:revision>2</cp:revision>
  <dcterms:created xsi:type="dcterms:W3CDTF">2017-05-11T19:54:00Z</dcterms:created>
  <dcterms:modified xsi:type="dcterms:W3CDTF">2017-05-11T19:54:00Z</dcterms:modified>
</cp:coreProperties>
</file>