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4330700"/>
            <wp:effectExtent b="0" l="0" r="0" t="0"/>
            <wp:docPr id="2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Purpose: To see if vasopressin infusion during hemorrhagic shock allows for more restrictive fluid resuscitation prior to surgical treatment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Background: Restrictive fluid administration (maintaining therapeutic hypotension) is recommended in humans, as aggressive fluids may worsen coagulopathy is via dilution and hypothermia, and dislodge clots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Methods - Pigs, controlled liver lacerations under anesthesia.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4 groups: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Vasopressin and fluids, vasopressin alone, fluids alone and nothing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Vasopressin rate was 0.04U/kg/min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Restrictive fluids were 12ml/kg over 30 min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4406900"/>
            <wp:effectExtent b="0" l="0" r="0" t="0"/>
            <wp:docPr id="1" name="image02.png"/>
            <a:graphic>
              <a:graphicData uri="http://schemas.openxmlformats.org/drawingml/2006/picture">
                <pic:pic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No statistical difference in groups: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V+F = 8/10 survived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V = 4/10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F = 3/10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Nothing = 3/10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However, logistic regression showed survival benefit to vasopressin (when comparing both no vasopressin groups to both vasopressin groups)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Vasopressin did not increase bleeding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3.png"/><Relationship Id="rId6" Type="http://schemas.openxmlformats.org/officeDocument/2006/relationships/image" Target="media/image02.png"/></Relationships>
</file>