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0193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Main points: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Since beta-lactams are time dependant antimicrobial, CRI may provide additional time over MIC than bolus dosing - this study supports that with improved outcomes and pharmacokinetics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Cefepime, meropenem or piperacillin/tazobactam (similar to unasyn)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patients received initial loading bolus over 30 min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Dosing was: 1 full dose, followed CRI that consisted of 24 hours worth given as CRI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Ex: Piperacillin/tasobactam normal dosing is 4g q6h, CRI group got 4g bolus followed immediately by 4g/6hr CRI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Other things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Study drug ended when: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Clinician decision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Patient withdrew from study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ICU discharge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Death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Endpoints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Primary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Clinical cure at 14 days after cessation of antibiotics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Resolution vs (improvement or failure)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Secondary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PK/PD target attainment for patients with susceptible infections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Days in ICU, on Vent, to discharge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Results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 infections were in lungs, followed by blood, urine, skin, CNS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Survival was improved for CRI groups compared to control groups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Days on ventilator was less for CRI group than control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Other things of note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 studies have not demonstrated difference in cure rate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authors say that this may be because other studies have had non-critical patients with susceptible infections, whereas this group had serious disease and resistant infections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study only had survival benefit for piperacillin/tazobactam group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