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widowControl w:val="0"/>
        <w:ind w:firstLine="450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Transition Flow Rates</w:t>
      </w:r>
    </w:p>
    <w:p w:rsidR="00000000" w:rsidDel="00000000" w:rsidP="00000000" w:rsidRDefault="00000000" w:rsidRPr="00000000">
      <w:pPr>
        <w:widowControl w:val="0"/>
        <w:ind w:firstLine="450"/>
        <w:contextualSpacing w:val="0"/>
        <w:jc w:val="center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Description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Upper Constraint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Min Q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L/s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Max Q</w:t>
              <w:br w:type="textWrapping"/>
              <w:t xml:space="preserve">L/s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Pre-fab plants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Number of pre-fab plants needed, beyond 4.9 L/s, use EStaRs design with sed tanks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4.9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EStaRS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 sed tank with room for more sed tanks (include sed inlet and outlet channels when building)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A bigger sed tank (inlet manifold length of 3.5m) could be used at 7.5 L/s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&lt;7.5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EStaRS or more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sed tanks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The masonry needed for the filter box for OStaRs gets too difficult (too small for a normal sized person to maneuver) below 16 L/s.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or more OStaRS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Due to a 24in LFOM (biggest pipe size in database)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16&lt;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Multiple treatment trains (multiple chemical dosing, entrance tanks, flocculators)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1000</w:t>
            </w:r>
          </w:p>
        </w:tc>
      </w:tr>
    </w:tbl>
    <w:p w:rsidR="00000000" w:rsidDel="00000000" w:rsidP="00000000" w:rsidRDefault="00000000" w:rsidRPr="00000000">
      <w:pPr>
        <w:widowControl w:val="0"/>
        <w:ind w:firstLine="45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ind w:firstLine="45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ind w:firstLine="45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ind w:firstLine="45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ind w:firstLine="450"/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