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11" w:rsidRDefault="001D6A2C">
      <w:r>
        <w:rPr>
          <w:noProof/>
        </w:rPr>
        <w:drawing>
          <wp:inline distT="0" distB="0" distL="0" distR="0">
            <wp:extent cx="5486400" cy="2090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A2C" w:rsidRDefault="001D6A2C"/>
    <w:p w:rsidR="001D6A2C" w:rsidRDefault="001D6A2C">
      <w:r>
        <w:t>Key Points:</w:t>
      </w:r>
    </w:p>
    <w:p w:rsidR="001D6A2C" w:rsidRDefault="001D6A2C" w:rsidP="001D6A2C">
      <w:pPr>
        <w:pStyle w:val="ListParagraph"/>
        <w:numPr>
          <w:ilvl w:val="0"/>
          <w:numId w:val="1"/>
        </w:numPr>
      </w:pPr>
      <w:r>
        <w:t>Medical therapy is the predominant method of management</w:t>
      </w:r>
    </w:p>
    <w:p w:rsidR="001D6A2C" w:rsidRDefault="001D6A2C" w:rsidP="001D6A2C">
      <w:pPr>
        <w:pStyle w:val="ListParagraph"/>
        <w:numPr>
          <w:ilvl w:val="0"/>
          <w:numId w:val="1"/>
        </w:numPr>
      </w:pPr>
      <w:r>
        <w:t>Glaucoma is progressive, requiring lifelong medical therapy</w:t>
      </w:r>
    </w:p>
    <w:p w:rsidR="001D6A2C" w:rsidRDefault="001D6A2C" w:rsidP="001D6A2C">
      <w:pPr>
        <w:pStyle w:val="ListParagraph"/>
        <w:numPr>
          <w:ilvl w:val="1"/>
          <w:numId w:val="1"/>
        </w:numPr>
      </w:pPr>
      <w:r>
        <w:t xml:space="preserve">Carbonic anhydrase inhibitors 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 xml:space="preserve">Topical </w:t>
      </w:r>
      <w:proofErr w:type="spellStart"/>
      <w:r>
        <w:t>vs</w:t>
      </w:r>
      <w:proofErr w:type="spellEnd"/>
      <w:r>
        <w:t xml:space="preserve"> oral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>Carbonic anhydrase results in bicarbonate production, which then leads to AH formation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proofErr w:type="spellStart"/>
      <w:r>
        <w:t>Dorzolamide</w:t>
      </w:r>
      <w:proofErr w:type="spellEnd"/>
      <w:r>
        <w:t xml:space="preserve">, </w:t>
      </w:r>
      <w:proofErr w:type="spellStart"/>
      <w:r>
        <w:t>brinzolamide</w:t>
      </w:r>
      <w:proofErr w:type="spellEnd"/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>All forms of glaucoma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>GI upset, malaise, increased RR (secondary to metabolic acidosis)</w:t>
      </w:r>
    </w:p>
    <w:p w:rsidR="001D6A2C" w:rsidRDefault="001D6A2C" w:rsidP="001D6A2C">
      <w:pPr>
        <w:pStyle w:val="ListParagraph"/>
        <w:numPr>
          <w:ilvl w:val="1"/>
          <w:numId w:val="1"/>
        </w:numPr>
      </w:pPr>
      <w:r>
        <w:t>Prostaglandin analogues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 xml:space="preserve">Produce increased </w:t>
      </w:r>
      <w:proofErr w:type="spellStart"/>
      <w:r>
        <w:t>uveoscleral</w:t>
      </w:r>
      <w:proofErr w:type="spellEnd"/>
      <w:r>
        <w:t xml:space="preserve"> outflow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proofErr w:type="spellStart"/>
      <w:r>
        <w:t>Latanoprost</w:t>
      </w:r>
      <w:proofErr w:type="spellEnd"/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>Reduces IOP 22% to 40%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>All forms of idiopathic glaucoma, some forms of secondary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 xml:space="preserve">Side effects: rare, </w:t>
      </w:r>
      <w:proofErr w:type="spellStart"/>
      <w:r>
        <w:t>conjunctival</w:t>
      </w:r>
      <w:proofErr w:type="spellEnd"/>
      <w:r>
        <w:t xml:space="preserve"> hyperemia</w:t>
      </w:r>
    </w:p>
    <w:p w:rsidR="001D6A2C" w:rsidRDefault="001D6A2C" w:rsidP="001D6A2C">
      <w:pPr>
        <w:pStyle w:val="ListParagraph"/>
        <w:numPr>
          <w:ilvl w:val="1"/>
          <w:numId w:val="1"/>
        </w:numPr>
      </w:pPr>
      <w:r>
        <w:t>Osmotic agents</w:t>
      </w:r>
    </w:p>
    <w:p w:rsidR="001D6A2C" w:rsidRDefault="001D6A2C" w:rsidP="001D6A2C">
      <w:pPr>
        <w:pStyle w:val="ListParagraph"/>
        <w:numPr>
          <w:ilvl w:val="2"/>
          <w:numId w:val="1"/>
        </w:numPr>
      </w:pPr>
      <w:proofErr w:type="spellStart"/>
      <w:r>
        <w:t>Mannitol</w:t>
      </w:r>
      <w:proofErr w:type="spellEnd"/>
    </w:p>
    <w:p w:rsidR="001D6A2C" w:rsidRDefault="001D6A2C" w:rsidP="001D6A2C">
      <w:pPr>
        <w:pStyle w:val="ListParagraph"/>
        <w:numPr>
          <w:ilvl w:val="2"/>
          <w:numId w:val="1"/>
        </w:numPr>
      </w:pPr>
      <w:r>
        <w:t>1-2g/kg of body weight IV over 20-30minCongestive glaucoma</w:t>
      </w:r>
    </w:p>
    <w:p w:rsidR="001D6A2C" w:rsidRDefault="001D6A2C" w:rsidP="001D6A2C">
      <w:pPr>
        <w:ind w:left="1800"/>
      </w:pPr>
    </w:p>
    <w:p w:rsidR="001D6A2C" w:rsidRDefault="00AC5005" w:rsidP="001D6A2C">
      <w:r>
        <w:rPr>
          <w:noProof/>
        </w:rPr>
        <w:lastRenderedPageBreak/>
        <w:drawing>
          <wp:inline distT="0" distB="0" distL="0" distR="0">
            <wp:extent cx="5486400" cy="34152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784F" w:rsidRDefault="007D784F" w:rsidP="001D6A2C"/>
    <w:p w:rsidR="007D784F" w:rsidRDefault="007D784F" w:rsidP="001D6A2C">
      <w:r>
        <w:t>Key Points:</w:t>
      </w:r>
    </w:p>
    <w:p w:rsidR="007D784F" w:rsidRDefault="007D784F" w:rsidP="007D784F">
      <w:pPr>
        <w:pStyle w:val="ListParagraph"/>
        <w:numPr>
          <w:ilvl w:val="0"/>
          <w:numId w:val="2"/>
        </w:numPr>
      </w:pPr>
      <w:r>
        <w:t>In most cases of non-obstructive FIC, clinical signs resolve within 1 to 7 days without therapy</w:t>
      </w:r>
    </w:p>
    <w:p w:rsidR="007D784F" w:rsidRDefault="007D784F" w:rsidP="007D784F">
      <w:pPr>
        <w:pStyle w:val="ListParagraph"/>
        <w:numPr>
          <w:ilvl w:val="0"/>
          <w:numId w:val="2"/>
        </w:numPr>
      </w:pPr>
      <w:r>
        <w:t>Stress management</w:t>
      </w:r>
    </w:p>
    <w:p w:rsidR="007D784F" w:rsidRDefault="007D784F" w:rsidP="007D784F">
      <w:pPr>
        <w:pStyle w:val="ListParagraph"/>
        <w:numPr>
          <w:ilvl w:val="0"/>
          <w:numId w:val="2"/>
        </w:numPr>
      </w:pPr>
      <w:r>
        <w:t>Feline Facial Pheromone: insufficient evidence to support</w:t>
      </w:r>
    </w:p>
    <w:p w:rsidR="007D784F" w:rsidRDefault="007D784F" w:rsidP="007D784F">
      <w:pPr>
        <w:pStyle w:val="ListParagraph"/>
        <w:numPr>
          <w:ilvl w:val="0"/>
          <w:numId w:val="2"/>
        </w:numPr>
      </w:pPr>
      <w:r>
        <w:t>Supplements/therapeutic foods for stress</w:t>
      </w:r>
    </w:p>
    <w:p w:rsidR="007D784F" w:rsidRDefault="007D784F" w:rsidP="007D784F">
      <w:pPr>
        <w:pStyle w:val="ListParagraph"/>
        <w:numPr>
          <w:ilvl w:val="1"/>
          <w:numId w:val="2"/>
        </w:numPr>
      </w:pPr>
      <w:r>
        <w:t>L-tryptophan or a-</w:t>
      </w:r>
      <w:proofErr w:type="spellStart"/>
      <w:r>
        <w:t>casozepine</w:t>
      </w:r>
      <w:proofErr w:type="spellEnd"/>
      <w:r>
        <w:t xml:space="preserve"> *If oral admin does not add to stress</w:t>
      </w:r>
    </w:p>
    <w:p w:rsidR="007D784F" w:rsidRDefault="007D784F" w:rsidP="007D784F">
      <w:pPr>
        <w:pStyle w:val="ListParagraph"/>
        <w:numPr>
          <w:ilvl w:val="0"/>
          <w:numId w:val="2"/>
        </w:numPr>
      </w:pPr>
      <w:r>
        <w:t>Moist food/Increased water intake: transition slowly (weeks to months)</w:t>
      </w:r>
    </w:p>
    <w:p w:rsidR="007D784F" w:rsidRDefault="007D784F" w:rsidP="007D784F">
      <w:pPr>
        <w:pStyle w:val="ListParagraph"/>
        <w:numPr>
          <w:ilvl w:val="0"/>
          <w:numId w:val="2"/>
        </w:numPr>
      </w:pPr>
      <w:r>
        <w:t xml:space="preserve">Therapeutic urinary food: </w:t>
      </w:r>
    </w:p>
    <w:p w:rsidR="00AC5005" w:rsidRDefault="00AC5005" w:rsidP="00AC5005">
      <w:pPr>
        <w:pStyle w:val="ListParagraph"/>
        <w:numPr>
          <w:ilvl w:val="1"/>
          <w:numId w:val="2"/>
        </w:numPr>
      </w:pPr>
      <w:r>
        <w:t xml:space="preserve">Consider if </w:t>
      </w:r>
      <w:proofErr w:type="spellStart"/>
      <w:r>
        <w:t>struvite</w:t>
      </w:r>
      <w:proofErr w:type="spellEnd"/>
      <w:r>
        <w:t xml:space="preserve"> disease cannot be ruled out</w:t>
      </w:r>
    </w:p>
    <w:p w:rsidR="00AC5005" w:rsidRDefault="00AC5005" w:rsidP="00AC5005">
      <w:pPr>
        <w:pStyle w:val="ListParagraph"/>
        <w:numPr>
          <w:ilvl w:val="1"/>
          <w:numId w:val="2"/>
        </w:numPr>
      </w:pPr>
      <w:r>
        <w:t xml:space="preserve">Multipurpose therapeutic urinary diet (Hills c/d </w:t>
      </w:r>
      <w:proofErr w:type="spellStart"/>
      <w:r>
        <w:t>multicare</w:t>
      </w:r>
      <w:proofErr w:type="spellEnd"/>
      <w:r>
        <w:t>)</w:t>
      </w:r>
    </w:p>
    <w:p w:rsidR="00AC5005" w:rsidRDefault="00AC5005" w:rsidP="00AC5005">
      <w:pPr>
        <w:pStyle w:val="ListParagraph"/>
        <w:numPr>
          <w:ilvl w:val="0"/>
          <w:numId w:val="2"/>
        </w:numPr>
      </w:pPr>
      <w:r>
        <w:t>GAGs: insufficient evidence to support oral or SC use, physiologic rationale</w:t>
      </w:r>
    </w:p>
    <w:p w:rsidR="00AC5005" w:rsidRDefault="00AC5005" w:rsidP="00AC5005">
      <w:pPr>
        <w:pStyle w:val="ListParagraph"/>
        <w:numPr>
          <w:ilvl w:val="0"/>
          <w:numId w:val="2"/>
        </w:numPr>
      </w:pPr>
      <w:r>
        <w:t>Amitriptyline: Insufficient evidence for short term, though consider for long term use if recurrent episodes despite use of foods/moist diet/environmental enrichment</w:t>
      </w:r>
    </w:p>
    <w:p w:rsidR="00AC5005" w:rsidRDefault="00AC5005" w:rsidP="00AC5005">
      <w:pPr>
        <w:pStyle w:val="ListParagraph"/>
        <w:numPr>
          <w:ilvl w:val="0"/>
          <w:numId w:val="2"/>
        </w:numPr>
      </w:pPr>
      <w:r>
        <w:t>Anti-inflammatories and Analgesics</w:t>
      </w:r>
    </w:p>
    <w:p w:rsidR="00AC5005" w:rsidRDefault="00AC5005" w:rsidP="00AC5005">
      <w:pPr>
        <w:pStyle w:val="ListParagraph"/>
        <w:numPr>
          <w:ilvl w:val="1"/>
          <w:numId w:val="2"/>
        </w:numPr>
      </w:pPr>
      <w:proofErr w:type="spellStart"/>
      <w:r>
        <w:t>Buprenorphnie</w:t>
      </w:r>
      <w:proofErr w:type="spellEnd"/>
      <w:r>
        <w:t xml:space="preserve">, </w:t>
      </w:r>
      <w:proofErr w:type="spellStart"/>
      <w:r>
        <w:t>butorphanol</w:t>
      </w:r>
      <w:proofErr w:type="spellEnd"/>
      <w:r>
        <w:t>, fentanyl patch</w:t>
      </w:r>
    </w:p>
    <w:p w:rsidR="00AC5005" w:rsidRDefault="00AC5005" w:rsidP="00AC5005">
      <w:pPr>
        <w:pStyle w:val="ListParagraph"/>
        <w:numPr>
          <w:ilvl w:val="1"/>
          <w:numId w:val="2"/>
        </w:numPr>
      </w:pPr>
      <w:r>
        <w:t>NSAIDs used with caution d/t reduced renal blood flow and potential for AKI</w:t>
      </w:r>
    </w:p>
    <w:sectPr w:rsidR="00AC5005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76073"/>
    <w:multiLevelType w:val="hybridMultilevel"/>
    <w:tmpl w:val="AE56B6BC"/>
    <w:lvl w:ilvl="0" w:tplc="99E6891A">
      <w:start w:val="1"/>
      <w:numFmt w:val="bullet"/>
      <w:lvlText w:val="o"/>
      <w:lvlJc w:val="left"/>
      <w:pPr>
        <w:tabs>
          <w:tab w:val="num" w:pos="1008"/>
        </w:tabs>
        <w:ind w:left="1008" w:hanging="288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>
    <w:nsid w:val="57437234"/>
    <w:multiLevelType w:val="hybridMultilevel"/>
    <w:tmpl w:val="16ECCEA4"/>
    <w:lvl w:ilvl="0" w:tplc="99E6891A">
      <w:start w:val="1"/>
      <w:numFmt w:val="bullet"/>
      <w:lvlText w:val="o"/>
      <w:lvlJc w:val="left"/>
      <w:pPr>
        <w:tabs>
          <w:tab w:val="num" w:pos="720"/>
        </w:tabs>
        <w:ind w:left="720" w:hanging="288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2C"/>
    <w:rsid w:val="001D6A2C"/>
    <w:rsid w:val="006B2111"/>
    <w:rsid w:val="007D784F"/>
    <w:rsid w:val="00AC5005"/>
    <w:rsid w:val="00D8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A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2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D6A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A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2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D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232</Words>
  <Characters>1328</Characters>
  <Application>Microsoft Macintosh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2015-10-14T14:25:00Z</dcterms:created>
  <dcterms:modified xsi:type="dcterms:W3CDTF">2015-10-14T14:59:00Z</dcterms:modified>
</cp:coreProperties>
</file>