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17FC2" w:rsidRDefault="00891431" w:rsidP="00891431">
      <w:pPr>
        <w:numPr>
          <w:ilvl w:val="0"/>
          <w:numId w:val="3"/>
        </w:numPr>
        <w:contextualSpacing/>
      </w:pPr>
      <w:r>
        <w:t>Toxic Epidermal Necrolysis (TEN)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 xml:space="preserve">Similar but not to be confused with erythema </w:t>
      </w:r>
      <w:proofErr w:type="spellStart"/>
      <w:r>
        <w:t>multiforme</w:t>
      </w:r>
      <w:proofErr w:type="spellEnd"/>
    </w:p>
    <w:p w:rsidR="00D17FC2" w:rsidRDefault="00891431" w:rsidP="00891431">
      <w:pPr>
        <w:numPr>
          <w:ilvl w:val="1"/>
          <w:numId w:val="3"/>
        </w:numPr>
        <w:contextualSpacing/>
      </w:pPr>
      <w:r>
        <w:t>Can be fatal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Mortality rate of 30-50%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Mortality depends on extent and location of lesions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Most often an adverse drug reaction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Most commonly associated drugs: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 xml:space="preserve">TMS, </w:t>
      </w:r>
      <w:proofErr w:type="spellStart"/>
      <w:r>
        <w:t>Cephalosporins</w:t>
      </w:r>
      <w:proofErr w:type="spellEnd"/>
      <w:r>
        <w:t xml:space="preserve">, </w:t>
      </w:r>
      <w:proofErr w:type="spellStart"/>
      <w:r>
        <w:t>Penicillins</w:t>
      </w:r>
      <w:proofErr w:type="spellEnd"/>
    </w:p>
    <w:p w:rsidR="00D17FC2" w:rsidRDefault="00891431" w:rsidP="00891431">
      <w:pPr>
        <w:numPr>
          <w:ilvl w:val="1"/>
          <w:numId w:val="3"/>
        </w:numPr>
        <w:contextualSpacing/>
      </w:pPr>
      <w:r>
        <w:t>Characterized by massive Keratinocyte apoptosis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Symptoms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Pyrexia, lethargy, anorexia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Generalized erythematous macules on mucosal surfaces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The more severe effects are when this disease affects internal mucosal surfaces</w:t>
      </w:r>
      <w:bookmarkStart w:id="0" w:name="_GoBack"/>
      <w:bookmarkEnd w:id="0"/>
    </w:p>
    <w:p w:rsidR="00D17FC2" w:rsidRDefault="00891431" w:rsidP="00891431">
      <w:pPr>
        <w:numPr>
          <w:ilvl w:val="4"/>
          <w:numId w:val="3"/>
        </w:numPr>
        <w:contextualSpacing/>
      </w:pPr>
      <w:r>
        <w:t>Trach</w:t>
      </w:r>
      <w:r>
        <w:t xml:space="preserve">ea, GI tract, Esophagus, </w:t>
      </w:r>
      <w:proofErr w:type="spellStart"/>
      <w:r>
        <w:t>etc</w:t>
      </w:r>
      <w:proofErr w:type="spellEnd"/>
      <w:r>
        <w:t>…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Severe pain associated with lesions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Mucosal compromise can lead to sepsis</w:t>
      </w:r>
    </w:p>
    <w:p w:rsidR="00D17FC2" w:rsidRDefault="00891431" w:rsidP="00891431">
      <w:pPr>
        <w:numPr>
          <w:ilvl w:val="4"/>
          <w:numId w:val="3"/>
        </w:numPr>
        <w:contextualSpacing/>
      </w:pPr>
      <w:r>
        <w:t>leading cause of death in people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Diagnosis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Based mostly on clinical signs and skin biopsy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Lack of dermal inflammation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since it is apoptosis without acti</w:t>
      </w:r>
      <w:r>
        <w:t>vation of inflammatory pathways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Management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NO steroids!!!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Not helpful and may contribute to sepsis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stop drugs that may have incited disease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supportive care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ulcer/wound management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(paper doesn’t say it, but one would think antibiotics to prevent sepsis)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Cyclosporine may work because of different mechanism than steroids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Plasmapheresis or IVIG have shown some promise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Recovery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May take 2-3 weeks if underlying cause can be identified and removed</w:t>
      </w:r>
    </w:p>
    <w:p w:rsidR="00D17FC2" w:rsidRDefault="00891431" w:rsidP="00891431">
      <w:pPr>
        <w:numPr>
          <w:ilvl w:val="0"/>
          <w:numId w:val="3"/>
        </w:numPr>
        <w:contextualSpacing/>
      </w:pPr>
      <w:r>
        <w:t>Vascular Diseases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Cutaneous vasculitis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Blood vessel walls are th</w:t>
      </w:r>
      <w:r>
        <w:t>e target of inflammatory response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Vasculitis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Descriptive term for cutaneous reaction pattern that is associated with multiple causes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Type III hypersensitivity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2’ to autoimmune or non-autoimmune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Causes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Drugs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vector borne infections</w:t>
      </w:r>
    </w:p>
    <w:p w:rsidR="00D17FC2" w:rsidRDefault="00891431" w:rsidP="00891431">
      <w:pPr>
        <w:numPr>
          <w:ilvl w:val="3"/>
          <w:numId w:val="3"/>
        </w:numPr>
        <w:contextualSpacing/>
      </w:pPr>
      <w:proofErr w:type="spellStart"/>
      <w:proofErr w:type="gramStart"/>
      <w:r>
        <w:lastRenderedPageBreak/>
        <w:t>ehrlichiosis</w:t>
      </w:r>
      <w:proofErr w:type="spellEnd"/>
      <w:proofErr w:type="gramEnd"/>
      <w:r>
        <w:t xml:space="preserve">, </w:t>
      </w:r>
      <w:proofErr w:type="spellStart"/>
      <w:r>
        <w:t>lyme</w:t>
      </w:r>
      <w:proofErr w:type="spellEnd"/>
      <w:r>
        <w:t>, RMSF,</w:t>
      </w:r>
      <w:r>
        <w:t xml:space="preserve"> </w:t>
      </w:r>
      <w:proofErr w:type="spellStart"/>
      <w:r>
        <w:t>Anaplasma</w:t>
      </w:r>
      <w:proofErr w:type="spellEnd"/>
      <w:r>
        <w:t xml:space="preserve">, </w:t>
      </w:r>
      <w:proofErr w:type="spellStart"/>
      <w:r>
        <w:t>Leishmania</w:t>
      </w:r>
      <w:proofErr w:type="spellEnd"/>
      <w:r>
        <w:t xml:space="preserve">, </w:t>
      </w:r>
      <w:proofErr w:type="spellStart"/>
      <w:r>
        <w:t>etc</w:t>
      </w:r>
      <w:proofErr w:type="spellEnd"/>
      <w:r>
        <w:t>…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Clinical signs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 xml:space="preserve">Purpura (similar to </w:t>
      </w:r>
      <w:proofErr w:type="spellStart"/>
      <w:r>
        <w:t>ecchymoses</w:t>
      </w:r>
      <w:proofErr w:type="spellEnd"/>
      <w:r>
        <w:t>)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 xml:space="preserve">hemorrhagic </w:t>
      </w:r>
      <w:proofErr w:type="spellStart"/>
      <w:r>
        <w:t>bullaa</w:t>
      </w:r>
      <w:proofErr w:type="spellEnd"/>
    </w:p>
    <w:p w:rsidR="00D17FC2" w:rsidRDefault="00891431" w:rsidP="00891431">
      <w:pPr>
        <w:numPr>
          <w:ilvl w:val="2"/>
          <w:numId w:val="3"/>
        </w:numPr>
        <w:contextualSpacing/>
      </w:pPr>
      <w:r>
        <w:t>ulcers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pitting edema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 xml:space="preserve">Cutaneous and renal glomerular </w:t>
      </w:r>
      <w:proofErr w:type="spellStart"/>
      <w:r>
        <w:t>vasculopathy</w:t>
      </w:r>
      <w:proofErr w:type="spellEnd"/>
    </w:p>
    <w:p w:rsidR="00D17FC2" w:rsidRDefault="00891431" w:rsidP="00891431">
      <w:pPr>
        <w:numPr>
          <w:ilvl w:val="2"/>
          <w:numId w:val="3"/>
        </w:numPr>
        <w:contextualSpacing/>
      </w:pPr>
      <w:r>
        <w:t>Greyhound dogs very over-represented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 xml:space="preserve">combination of vasculitis and Immune complex </w:t>
      </w:r>
      <w:proofErr w:type="spellStart"/>
      <w:r>
        <w:t>glomerulonephropathy</w:t>
      </w:r>
      <w:proofErr w:type="spellEnd"/>
    </w:p>
    <w:p w:rsidR="00D17FC2" w:rsidRDefault="00891431" w:rsidP="00891431">
      <w:pPr>
        <w:numPr>
          <w:ilvl w:val="3"/>
          <w:numId w:val="3"/>
        </w:numPr>
        <w:contextualSpacing/>
      </w:pPr>
      <w:r>
        <w:t xml:space="preserve">Possibly due to E. coli produced </w:t>
      </w:r>
      <w:proofErr w:type="spellStart"/>
      <w:r>
        <w:t>verotoxin</w:t>
      </w:r>
      <w:proofErr w:type="spellEnd"/>
      <w:r>
        <w:t xml:space="preserve"> (</w:t>
      </w:r>
      <w:proofErr w:type="spellStart"/>
      <w:r>
        <w:t>shiga</w:t>
      </w:r>
      <w:proofErr w:type="spellEnd"/>
      <w:r>
        <w:t>-like toxin)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Diagnosis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thorough drug history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vaccine history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can be 2-6 months post-vaccine that vasculitis develops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Vector borne disease tes</w:t>
      </w:r>
      <w:r>
        <w:t>ting</w:t>
      </w:r>
    </w:p>
    <w:p w:rsidR="00D17FC2" w:rsidRDefault="00891431" w:rsidP="00891431">
      <w:pPr>
        <w:numPr>
          <w:ilvl w:val="3"/>
          <w:numId w:val="3"/>
        </w:numPr>
        <w:contextualSpacing/>
      </w:pPr>
      <w:proofErr w:type="spellStart"/>
      <w:r>
        <w:t>babesia</w:t>
      </w:r>
      <w:proofErr w:type="spellEnd"/>
      <w:r>
        <w:t xml:space="preserve">, </w:t>
      </w:r>
      <w:proofErr w:type="spellStart"/>
      <w:r>
        <w:t>erlichia</w:t>
      </w:r>
      <w:proofErr w:type="spellEnd"/>
      <w:r>
        <w:t xml:space="preserve">, </w:t>
      </w:r>
      <w:proofErr w:type="spellStart"/>
      <w:r>
        <w:t>anaplasma</w:t>
      </w:r>
      <w:proofErr w:type="spellEnd"/>
      <w:r>
        <w:t xml:space="preserve">, </w:t>
      </w:r>
      <w:proofErr w:type="spellStart"/>
      <w:r>
        <w:t>bartonela</w:t>
      </w:r>
      <w:proofErr w:type="spellEnd"/>
      <w:r>
        <w:t xml:space="preserve">, rickettsia, </w:t>
      </w:r>
      <w:proofErr w:type="spellStart"/>
      <w:r>
        <w:t>borrelia</w:t>
      </w:r>
      <w:proofErr w:type="spellEnd"/>
      <w:r>
        <w:t xml:space="preserve">, </w:t>
      </w:r>
      <w:proofErr w:type="spellStart"/>
      <w:r>
        <w:t>leishmania</w:t>
      </w:r>
      <w:proofErr w:type="spellEnd"/>
    </w:p>
    <w:p w:rsidR="00D17FC2" w:rsidRDefault="00891431" w:rsidP="00891431">
      <w:pPr>
        <w:numPr>
          <w:ilvl w:val="2"/>
          <w:numId w:val="3"/>
        </w:numPr>
        <w:contextualSpacing/>
      </w:pPr>
      <w:proofErr w:type="spellStart"/>
      <w:r>
        <w:t>histopath</w:t>
      </w:r>
      <w:proofErr w:type="spellEnd"/>
      <w:r>
        <w:t xml:space="preserve"> of lesions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but can be difficult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D-dimers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&gt;500 with clinical signs are very specific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Treatment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Minor cases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Doxycycline</w:t>
      </w:r>
    </w:p>
    <w:p w:rsidR="00D17FC2" w:rsidRDefault="00891431" w:rsidP="00891431">
      <w:pPr>
        <w:numPr>
          <w:ilvl w:val="3"/>
          <w:numId w:val="3"/>
        </w:numPr>
        <w:contextualSpacing/>
      </w:pPr>
      <w:proofErr w:type="spellStart"/>
      <w:r>
        <w:t>Pentoxifylline</w:t>
      </w:r>
      <w:proofErr w:type="spellEnd"/>
    </w:p>
    <w:p w:rsidR="00D17FC2" w:rsidRDefault="00891431" w:rsidP="00891431">
      <w:pPr>
        <w:numPr>
          <w:ilvl w:val="4"/>
          <w:numId w:val="3"/>
        </w:numPr>
        <w:contextualSpacing/>
      </w:pPr>
      <w:r>
        <w:t>increases erythrocyte flexibility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Severe cases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Glucocorticoids</w:t>
      </w:r>
    </w:p>
    <w:p w:rsidR="00D17FC2" w:rsidRDefault="00891431" w:rsidP="00891431">
      <w:pPr>
        <w:numPr>
          <w:ilvl w:val="4"/>
          <w:numId w:val="3"/>
        </w:numPr>
        <w:contextualSpacing/>
      </w:pPr>
      <w:r>
        <w:t xml:space="preserve">secondary </w:t>
      </w:r>
      <w:proofErr w:type="spellStart"/>
      <w:r>
        <w:t>immunosuppressants</w:t>
      </w:r>
      <w:proofErr w:type="spellEnd"/>
      <w:r>
        <w:t xml:space="preserve"> can be added</w:t>
      </w:r>
    </w:p>
    <w:p w:rsidR="00D17FC2" w:rsidRDefault="00D17FC2"/>
    <w:p w:rsidR="00D17FC2" w:rsidRDefault="00D17FC2"/>
    <w:p w:rsidR="00D17FC2" w:rsidRDefault="00D17FC2"/>
    <w:p w:rsidR="00D17FC2" w:rsidRDefault="00891431" w:rsidP="00891431">
      <w:pPr>
        <w:pStyle w:val="ListParagraph"/>
        <w:numPr>
          <w:ilvl w:val="0"/>
          <w:numId w:val="3"/>
        </w:numPr>
      </w:pPr>
      <w:r>
        <w:t>Questions:</w:t>
      </w:r>
    </w:p>
    <w:p w:rsidR="00D17FC2" w:rsidRDefault="00D17FC2"/>
    <w:p w:rsidR="00D17FC2" w:rsidRDefault="00891431" w:rsidP="00891431">
      <w:pPr>
        <w:numPr>
          <w:ilvl w:val="0"/>
          <w:numId w:val="3"/>
        </w:numPr>
        <w:contextualSpacing/>
      </w:pPr>
      <w:r>
        <w:t>According to Muller’s Small Animal Dermatology, the first-line immunomodulatory drug for Toxic Epidermal Necrolysis should be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Glucocorticoids such as prednisone or prednisolone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Cyclosporine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Azathioprine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 xml:space="preserve">Mycophenolate </w:t>
      </w:r>
      <w:r>
        <w:br/>
      </w:r>
    </w:p>
    <w:p w:rsidR="00D17FC2" w:rsidRDefault="00891431" w:rsidP="00891431">
      <w:pPr>
        <w:numPr>
          <w:ilvl w:val="0"/>
          <w:numId w:val="3"/>
        </w:numPr>
        <w:contextualSpacing/>
      </w:pPr>
      <w:r>
        <w:t>Name 3 tests you would perform in the diagnostic evaluation for potential dermal vasculitis and the rationale for each test</w:t>
      </w:r>
      <w:r>
        <w:br/>
      </w:r>
      <w:r>
        <w:lastRenderedPageBreak/>
        <w:br/>
      </w:r>
    </w:p>
    <w:p w:rsidR="00D17FC2" w:rsidRDefault="00891431" w:rsidP="00891431">
      <w:pPr>
        <w:numPr>
          <w:ilvl w:val="0"/>
          <w:numId w:val="3"/>
        </w:numPr>
        <w:contextualSpacing/>
      </w:pPr>
      <w:r>
        <w:t>The main mechanism of therapeutic ben</w:t>
      </w:r>
      <w:r>
        <w:t xml:space="preserve">efit of the drug </w:t>
      </w:r>
      <w:proofErr w:type="spellStart"/>
      <w:r>
        <w:t>pentoxifylline</w:t>
      </w:r>
      <w:proofErr w:type="spellEnd"/>
      <w:r>
        <w:t xml:space="preserve"> is considered to be: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Increased erythrocyte cell lifespan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Increased thrombocyte stability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Increased erythrocyte cell flexibility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Increased thrombocyte lifespan</w:t>
      </w:r>
      <w:r>
        <w:br/>
      </w:r>
    </w:p>
    <w:p w:rsidR="00D17FC2" w:rsidRDefault="00891431" w:rsidP="00891431">
      <w:pPr>
        <w:numPr>
          <w:ilvl w:val="0"/>
          <w:numId w:val="3"/>
        </w:numPr>
        <w:contextualSpacing/>
      </w:pPr>
      <w:r>
        <w:t>The majority of cutaneous vasculitis is considered to be a hyper</w:t>
      </w:r>
      <w:r>
        <w:t>sensitivity reaction mediated by:</w:t>
      </w:r>
    </w:p>
    <w:p w:rsidR="00D17FC2" w:rsidRDefault="00891431" w:rsidP="00891431">
      <w:pPr>
        <w:numPr>
          <w:ilvl w:val="1"/>
          <w:numId w:val="3"/>
        </w:numPr>
        <w:contextualSpacing/>
      </w:pPr>
      <w:proofErr w:type="spellStart"/>
      <w:r>
        <w:t>IgE</w:t>
      </w:r>
      <w:proofErr w:type="spellEnd"/>
    </w:p>
    <w:p w:rsidR="00D17FC2" w:rsidRDefault="00891431" w:rsidP="00891431">
      <w:pPr>
        <w:numPr>
          <w:ilvl w:val="1"/>
          <w:numId w:val="3"/>
        </w:numPr>
        <w:contextualSpacing/>
      </w:pPr>
      <w:r>
        <w:t>Cells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IgG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Immune Complexes</w:t>
      </w:r>
    </w:p>
    <w:sectPr w:rsidR="00D17FC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F6D28"/>
    <w:multiLevelType w:val="hybridMultilevel"/>
    <w:tmpl w:val="AA40D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B03AE4"/>
    <w:multiLevelType w:val="multilevel"/>
    <w:tmpl w:val="0410214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7DA742D3"/>
    <w:multiLevelType w:val="multilevel"/>
    <w:tmpl w:val="A1E083E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17FC2"/>
    <w:rsid w:val="00891431"/>
    <w:rsid w:val="00D1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914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91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2571</Characters>
  <Application>Microsoft Office Word</Application>
  <DocSecurity>0</DocSecurity>
  <Lines>21</Lines>
  <Paragraphs>6</Paragraphs>
  <ScaleCrop>false</ScaleCrop>
  <Company>Cornell Veterinary Medicine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Zager</cp:lastModifiedBy>
  <cp:revision>3</cp:revision>
  <dcterms:created xsi:type="dcterms:W3CDTF">2016-02-03T18:23:00Z</dcterms:created>
  <dcterms:modified xsi:type="dcterms:W3CDTF">2016-02-03T18:24:00Z</dcterms:modified>
</cp:coreProperties>
</file>