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53C" w:rsidRPr="00391460" w:rsidRDefault="00B07C17">
      <w:pPr>
        <w:rPr>
          <w:sz w:val="28"/>
          <w:szCs w:val="28"/>
        </w:rPr>
      </w:pPr>
      <w:r w:rsidRPr="00391460">
        <w:rPr>
          <w:sz w:val="28"/>
          <w:szCs w:val="28"/>
        </w:rPr>
        <w:t>Temporomandibular Joint Luxation and Locked Jaw Syndrome</w:t>
      </w:r>
    </w:p>
    <w:p w:rsidR="00B07C17" w:rsidRPr="00391460" w:rsidRDefault="00391460" w:rsidP="00B07C1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91460">
        <w:rPr>
          <w:sz w:val="28"/>
          <w:szCs w:val="28"/>
        </w:rPr>
        <w:t>Locked Jaw Syndrom</w:t>
      </w:r>
      <w:r>
        <w:rPr>
          <w:sz w:val="28"/>
          <w:szCs w:val="28"/>
        </w:rPr>
        <w:t>e</w:t>
      </w:r>
    </w:p>
    <w:p w:rsidR="00391460" w:rsidRDefault="00391460" w:rsidP="00391460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391460">
        <w:rPr>
          <w:sz w:val="28"/>
          <w:szCs w:val="28"/>
        </w:rPr>
        <w:t>Inability to close or open mouth</w:t>
      </w:r>
    </w:p>
    <w:p w:rsidR="00391460" w:rsidRDefault="00391460" w:rsidP="0039146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Can be caused by:</w:t>
      </w:r>
    </w:p>
    <w:p w:rsidR="00391460" w:rsidRDefault="00391460" w:rsidP="00391460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Joint ankylosis secondary to fracture (most common)</w:t>
      </w:r>
    </w:p>
    <w:p w:rsidR="00391460" w:rsidRDefault="00391460" w:rsidP="00391460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Masticatory myositis</w:t>
      </w:r>
    </w:p>
    <w:p w:rsidR="00391460" w:rsidRDefault="00391460" w:rsidP="00391460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Neoplasia</w:t>
      </w:r>
    </w:p>
    <w:p w:rsidR="00391460" w:rsidRDefault="00391460" w:rsidP="00391460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Trigeminal nerve paralysis</w:t>
      </w:r>
    </w:p>
    <w:p w:rsidR="00391460" w:rsidRDefault="00391460" w:rsidP="00391460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Central Neurologic Lesions</w:t>
      </w:r>
    </w:p>
    <w:p w:rsidR="00391460" w:rsidRDefault="00391460" w:rsidP="00391460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TMJ luxation/dysplasia</w:t>
      </w:r>
    </w:p>
    <w:p w:rsidR="00391460" w:rsidRDefault="00391460" w:rsidP="00391460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Osteoarthritis</w:t>
      </w:r>
    </w:p>
    <w:p w:rsidR="00391460" w:rsidRDefault="00391460" w:rsidP="00391460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Retrobulbar abscess</w:t>
      </w:r>
    </w:p>
    <w:p w:rsidR="00391460" w:rsidRDefault="00391460" w:rsidP="00391460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Tetanus</w:t>
      </w:r>
    </w:p>
    <w:p w:rsidR="00391460" w:rsidRPr="00391460" w:rsidRDefault="00391460" w:rsidP="00391460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Severe Ear disease</w:t>
      </w:r>
    </w:p>
    <w:p w:rsidR="00391460" w:rsidRPr="00391460" w:rsidRDefault="00391460" w:rsidP="0039146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91460">
        <w:rPr>
          <w:sz w:val="28"/>
          <w:szCs w:val="28"/>
        </w:rPr>
        <w:t xml:space="preserve">TMJ dislocation </w:t>
      </w:r>
    </w:p>
    <w:p w:rsidR="00391460" w:rsidRDefault="00391460" w:rsidP="00391460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391460">
        <w:rPr>
          <w:sz w:val="28"/>
          <w:szCs w:val="28"/>
        </w:rPr>
        <w:t>Mandibular condyles separate form articular surfaces of the temporal bone and mandibular fossae</w:t>
      </w:r>
    </w:p>
    <w:p w:rsidR="00391460" w:rsidRDefault="00391460" w:rsidP="0039146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Usually the result of trauma</w:t>
      </w:r>
    </w:p>
    <w:p w:rsidR="00391460" w:rsidRDefault="00391460" w:rsidP="00391460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Must be severe because of protectant muscles</w:t>
      </w:r>
    </w:p>
    <w:p w:rsidR="00391460" w:rsidRDefault="00391460" w:rsidP="00391460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Craniodorsal displacement of mandibular condyles is most common</w:t>
      </w:r>
    </w:p>
    <w:p w:rsidR="00391460" w:rsidRDefault="00391460" w:rsidP="0039146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Diagnosis</w:t>
      </w:r>
    </w:p>
    <w:p w:rsidR="00391460" w:rsidRDefault="00391460" w:rsidP="00391460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Most often have an open mouth</w:t>
      </w:r>
    </w:p>
    <w:p w:rsidR="00391460" w:rsidRDefault="00391460" w:rsidP="00391460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Unilateral lux causes rostral aspect of mouth to shift in opposite direction</w:t>
      </w:r>
    </w:p>
    <w:p w:rsidR="00391460" w:rsidRDefault="00391460" w:rsidP="00391460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Bilateral lux causes protrusion of entire mandible</w:t>
      </w:r>
    </w:p>
    <w:p w:rsidR="00391460" w:rsidRDefault="00391460" w:rsidP="0039146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LSJ diagnosis</w:t>
      </w:r>
    </w:p>
    <w:p w:rsidR="00391460" w:rsidRDefault="00391460" w:rsidP="00391460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Young dogs usually fracture (&lt;2 years old)</w:t>
      </w:r>
    </w:p>
    <w:p w:rsidR="00391460" w:rsidRDefault="00391460" w:rsidP="00391460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Older dogs have other non-traumatic causes</w:t>
      </w:r>
    </w:p>
    <w:p w:rsidR="00391460" w:rsidRDefault="00391460" w:rsidP="0039146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Imaging</w:t>
      </w:r>
    </w:p>
    <w:p w:rsidR="00391460" w:rsidRDefault="00391460" w:rsidP="00391460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Skull radiographs with anesthesia or heavy sedation</w:t>
      </w:r>
    </w:p>
    <w:p w:rsidR="00391460" w:rsidRDefault="00391460" w:rsidP="00391460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4-view rads</w:t>
      </w:r>
    </w:p>
    <w:p w:rsidR="00391460" w:rsidRDefault="00391460" w:rsidP="00391460">
      <w:pPr>
        <w:pStyle w:val="ListParagraph"/>
        <w:numPr>
          <w:ilvl w:val="3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Increased joint space width on dorsoventrally projection in the most common</w:t>
      </w:r>
    </w:p>
    <w:p w:rsidR="00391460" w:rsidRDefault="00CD0816" w:rsidP="00CD081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Medical Management</w:t>
      </w:r>
    </w:p>
    <w:p w:rsidR="00CD0816" w:rsidRDefault="00CD0816" w:rsidP="00CD0816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TMJ can be reduced without surgery</w:t>
      </w:r>
    </w:p>
    <w:p w:rsidR="00CD0816" w:rsidRDefault="00CD0816" w:rsidP="00CD0816">
      <w:pPr>
        <w:pStyle w:val="ListParagraph"/>
        <w:numPr>
          <w:ilvl w:val="3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Needs anesthesia</w:t>
      </w:r>
    </w:p>
    <w:p w:rsidR="00CD0816" w:rsidRDefault="00B84754" w:rsidP="00CD0816">
      <w:pPr>
        <w:pStyle w:val="ListParagraph"/>
        <w:numPr>
          <w:ilvl w:val="3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Use stick across mouth to use as fulcrum</w:t>
      </w:r>
    </w:p>
    <w:p w:rsidR="00B84754" w:rsidRDefault="00B84754" w:rsidP="00CD0816">
      <w:pPr>
        <w:pStyle w:val="ListParagraph"/>
        <w:numPr>
          <w:ilvl w:val="3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If still unstable:</w:t>
      </w:r>
    </w:p>
    <w:p w:rsidR="00B84754" w:rsidRDefault="00B84754" w:rsidP="00B84754">
      <w:pPr>
        <w:pStyle w:val="ListParagraph"/>
        <w:numPr>
          <w:ilvl w:val="4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Tape muzzles, interarcade wiring, interarcade acrylic for 7-14 days</w:t>
      </w:r>
    </w:p>
    <w:p w:rsidR="00B84754" w:rsidRDefault="00B84754" w:rsidP="00B84754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LJS</w:t>
      </w:r>
    </w:p>
    <w:p w:rsidR="00B84754" w:rsidRDefault="00B84754" w:rsidP="00B84754">
      <w:pPr>
        <w:pStyle w:val="ListParagraph"/>
        <w:numPr>
          <w:ilvl w:val="3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Depends on primary cause</w:t>
      </w:r>
    </w:p>
    <w:p w:rsidR="00B84754" w:rsidRDefault="00B84754" w:rsidP="00B84754">
      <w:pPr>
        <w:pStyle w:val="ListParagraph"/>
        <w:numPr>
          <w:ilvl w:val="3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Ankylosis requires surgery</w:t>
      </w:r>
    </w:p>
    <w:p w:rsidR="00AC3FA1" w:rsidRDefault="00AC3FA1" w:rsidP="00B84754">
      <w:pPr>
        <w:pStyle w:val="ListParagraph"/>
        <w:numPr>
          <w:ilvl w:val="3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MM – gradually force mouth open under general anesthesia</w:t>
      </w:r>
    </w:p>
    <w:p w:rsidR="00AC3FA1" w:rsidRDefault="00AC3FA1" w:rsidP="00AC3FA1">
      <w:pPr>
        <w:rPr>
          <w:sz w:val="28"/>
          <w:szCs w:val="28"/>
        </w:rPr>
      </w:pPr>
    </w:p>
    <w:p w:rsidR="00AC3FA1" w:rsidRDefault="00AC3FA1" w:rsidP="00AC3FA1">
      <w:pPr>
        <w:rPr>
          <w:sz w:val="28"/>
          <w:szCs w:val="28"/>
        </w:rPr>
      </w:pPr>
      <w:r>
        <w:rPr>
          <w:sz w:val="28"/>
          <w:szCs w:val="28"/>
        </w:rPr>
        <w:t>Questions:</w:t>
      </w:r>
    </w:p>
    <w:p w:rsidR="00AC3FA1" w:rsidRDefault="00AC3FA1" w:rsidP="00AC3FA1">
      <w:pPr>
        <w:rPr>
          <w:sz w:val="28"/>
          <w:szCs w:val="28"/>
        </w:rPr>
      </w:pPr>
      <w:r>
        <w:rPr>
          <w:sz w:val="28"/>
          <w:szCs w:val="28"/>
        </w:rPr>
        <w:t>In the following table, name 3 diagnostics that could be done for a patient with Lock Jaw Syndrome and what you hope to rule in or out wi</w:t>
      </w:r>
      <w:bookmarkStart w:id="0" w:name="_GoBack"/>
      <w:bookmarkEnd w:id="0"/>
      <w:r>
        <w:rPr>
          <w:sz w:val="28"/>
          <w:szCs w:val="28"/>
        </w:rPr>
        <w:t>th each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C3FA1" w:rsidTr="00AC3FA1">
        <w:trPr>
          <w:trHeight w:val="737"/>
        </w:trPr>
        <w:tc>
          <w:tcPr>
            <w:tcW w:w="4788" w:type="dxa"/>
          </w:tcPr>
          <w:p w:rsidR="00AC3FA1" w:rsidRDefault="00AC3FA1" w:rsidP="00AC3F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Diagnostic</w:t>
            </w:r>
          </w:p>
        </w:tc>
        <w:tc>
          <w:tcPr>
            <w:tcW w:w="4788" w:type="dxa"/>
          </w:tcPr>
          <w:p w:rsidR="00AC3FA1" w:rsidRDefault="00AC3FA1" w:rsidP="00AC3F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Rationale</w:t>
            </w:r>
          </w:p>
        </w:tc>
      </w:tr>
      <w:tr w:rsidR="00AC3FA1" w:rsidTr="00AC3FA1">
        <w:trPr>
          <w:trHeight w:val="710"/>
        </w:trPr>
        <w:tc>
          <w:tcPr>
            <w:tcW w:w="4788" w:type="dxa"/>
          </w:tcPr>
          <w:p w:rsidR="00AC3FA1" w:rsidRDefault="00AC3FA1" w:rsidP="00AC3FA1">
            <w:pPr>
              <w:rPr>
                <w:sz w:val="28"/>
                <w:szCs w:val="28"/>
              </w:rPr>
            </w:pPr>
          </w:p>
        </w:tc>
        <w:tc>
          <w:tcPr>
            <w:tcW w:w="4788" w:type="dxa"/>
          </w:tcPr>
          <w:p w:rsidR="00AC3FA1" w:rsidRDefault="00AC3FA1" w:rsidP="00AC3FA1">
            <w:pPr>
              <w:rPr>
                <w:sz w:val="28"/>
                <w:szCs w:val="28"/>
              </w:rPr>
            </w:pPr>
          </w:p>
        </w:tc>
      </w:tr>
      <w:tr w:rsidR="00AC3FA1" w:rsidTr="00AC3FA1">
        <w:trPr>
          <w:trHeight w:val="710"/>
        </w:trPr>
        <w:tc>
          <w:tcPr>
            <w:tcW w:w="4788" w:type="dxa"/>
          </w:tcPr>
          <w:p w:rsidR="00AC3FA1" w:rsidRDefault="00AC3FA1" w:rsidP="00AC3FA1">
            <w:pPr>
              <w:rPr>
                <w:sz w:val="28"/>
                <w:szCs w:val="28"/>
              </w:rPr>
            </w:pPr>
          </w:p>
        </w:tc>
        <w:tc>
          <w:tcPr>
            <w:tcW w:w="4788" w:type="dxa"/>
          </w:tcPr>
          <w:p w:rsidR="00AC3FA1" w:rsidRDefault="00AC3FA1" w:rsidP="00AC3FA1">
            <w:pPr>
              <w:rPr>
                <w:sz w:val="28"/>
                <w:szCs w:val="28"/>
              </w:rPr>
            </w:pPr>
          </w:p>
        </w:tc>
      </w:tr>
      <w:tr w:rsidR="00AC3FA1" w:rsidTr="00AC3FA1">
        <w:trPr>
          <w:trHeight w:val="800"/>
        </w:trPr>
        <w:tc>
          <w:tcPr>
            <w:tcW w:w="4788" w:type="dxa"/>
          </w:tcPr>
          <w:p w:rsidR="00AC3FA1" w:rsidRDefault="00AC3FA1" w:rsidP="00AC3FA1">
            <w:pPr>
              <w:rPr>
                <w:sz w:val="28"/>
                <w:szCs w:val="28"/>
              </w:rPr>
            </w:pPr>
          </w:p>
        </w:tc>
        <w:tc>
          <w:tcPr>
            <w:tcW w:w="4788" w:type="dxa"/>
          </w:tcPr>
          <w:p w:rsidR="00AC3FA1" w:rsidRDefault="00AC3FA1" w:rsidP="00AC3FA1">
            <w:pPr>
              <w:rPr>
                <w:sz w:val="28"/>
                <w:szCs w:val="28"/>
              </w:rPr>
            </w:pPr>
          </w:p>
        </w:tc>
      </w:tr>
    </w:tbl>
    <w:p w:rsidR="00AC3FA1" w:rsidRPr="00AC3FA1" w:rsidRDefault="00AC3FA1" w:rsidP="00AC3FA1">
      <w:pPr>
        <w:rPr>
          <w:sz w:val="28"/>
          <w:szCs w:val="28"/>
        </w:rPr>
      </w:pPr>
    </w:p>
    <w:sectPr w:rsidR="00AC3FA1" w:rsidRPr="00AC3F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45128"/>
    <w:multiLevelType w:val="hybridMultilevel"/>
    <w:tmpl w:val="895C0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C6"/>
    <w:rsid w:val="00391460"/>
    <w:rsid w:val="007F2FC6"/>
    <w:rsid w:val="009F453C"/>
    <w:rsid w:val="00AC3FA1"/>
    <w:rsid w:val="00B07C17"/>
    <w:rsid w:val="00B84754"/>
    <w:rsid w:val="00CD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7C17"/>
    <w:pPr>
      <w:ind w:left="720"/>
      <w:contextualSpacing/>
    </w:pPr>
  </w:style>
  <w:style w:type="table" w:styleId="TableGrid">
    <w:name w:val="Table Grid"/>
    <w:basedOn w:val="TableNormal"/>
    <w:uiPriority w:val="59"/>
    <w:rsid w:val="00AC3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7C17"/>
    <w:pPr>
      <w:ind w:left="720"/>
      <w:contextualSpacing/>
    </w:pPr>
  </w:style>
  <w:style w:type="table" w:styleId="TableGrid">
    <w:name w:val="Table Grid"/>
    <w:basedOn w:val="TableNormal"/>
    <w:uiPriority w:val="59"/>
    <w:rsid w:val="00AC3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</cp:lastModifiedBy>
  <cp:revision>4</cp:revision>
  <dcterms:created xsi:type="dcterms:W3CDTF">2016-01-19T18:22:00Z</dcterms:created>
  <dcterms:modified xsi:type="dcterms:W3CDTF">2016-01-19T18:56:00Z</dcterms:modified>
</cp:coreProperties>
</file>