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tl w:val="0"/>
        </w:rPr>
        <w:t xml:space="preserve">Management of Pulmonary Embolism: State of the Art Treatment and Emerging Research</w:t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tl w:val="0"/>
        </w:rPr>
        <w:t xml:space="preserve">Esponda and Tafur, </w:t>
      </w:r>
      <w:r w:rsidDel="00000000" w:rsidR="00000000" w:rsidRPr="00000000">
        <w:rPr>
          <w:rtl w:val="0"/>
        </w:rPr>
        <w:t xml:space="preserve">Current Treatment Options in Cardiovascular Medicine (2013)</w:t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0" behindDoc="0" distB="114300" distT="114300" distL="114300" distR="114300" hidden="0" layoutInCell="0" locked="0" relativeHeight="0" simplePos="0">
            <wp:simplePos x="0" y="0"/>
            <wp:positionH relativeFrom="margin">
              <wp:posOffset>-190499</wp:posOffset>
            </wp:positionH>
            <wp:positionV relativeFrom="paragraph">
              <wp:posOffset>123825</wp:posOffset>
            </wp:positionV>
            <wp:extent cx="5943600" cy="3378200"/>
            <wp:effectExtent b="0" l="0" r="0" t="0"/>
            <wp:wrapTopAndBottom distB="114300" distT="114300"/>
            <wp:docPr id="1" name="image01.png"/>
            <a:graphic>
              <a:graphicData uri="http://schemas.openxmlformats.org/drawingml/2006/picture">
                <pic:pic>
                  <pic:nvPicPr>
                    <pic:cNvPr id="0" name="image01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spacing w:after="0" w:before="0" w:line="276" w:lineRule="auto"/>
        <w:ind w:left="72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Goals of treatment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2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Prevention of further embolization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2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Prevention of extension of thrombi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2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Reduction of recurrence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2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Restoration of pulmonary artery patency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2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Prevention of pulmonary hypertension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spacing w:after="0" w:before="0" w:line="276" w:lineRule="auto"/>
        <w:ind w:left="720" w:right="0" w:hanging="360"/>
        <w:contextualSpacing w:val="1"/>
        <w:jc w:val="left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Goals in regards to specific treatments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2"/>
        </w:numPr>
        <w:spacing w:after="0" w:before="0" w:line="276" w:lineRule="auto"/>
        <w:ind w:left="1440" w:right="0" w:hanging="360"/>
        <w:contextualSpacing w:val="1"/>
        <w:jc w:val="left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Anticoagulation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Prevention of further embolization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Prevention of extension of thrombi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Reduction of recurrence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Fibrinolysis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/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Restoration of pulmonary artery patency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/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Prevention of pulmonary hypertension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Anticoagulation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Minimum of 3 month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re-evaluate risk/benefit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Initial therapy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UF heparin IV is 1st line treatment in majority of cases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LMWH or fondaparinux (synthetic analog of the pentasaccharide in heparins) may be alternatives</w:t>
      </w:r>
    </w:p>
    <w:p w:rsidR="00000000" w:rsidDel="00000000" w:rsidP="00000000" w:rsidRDefault="00000000" w:rsidRPr="00000000">
      <w:pPr>
        <w:numPr>
          <w:ilvl w:val="3"/>
          <w:numId w:val="2"/>
        </w:numPr>
        <w:ind w:left="288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LMWH is preferred in cancer-caused PTE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Unfractionated Heparin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Dose to aPTT between 1.5-2.5 x baseline or Xa level of 0.3-0.7 IU/L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Main side effect is bleeding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Cleared by kidneys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Fondaparinux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Synthetic analog of the pentasaccharide in heparins (increased AT activity)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Cleared by kidneys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Long half-life in people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Direct Thrombin Inhibitors</w:t>
      </w:r>
    </w:p>
    <w:p w:rsidR="00000000" w:rsidDel="00000000" w:rsidP="00000000" w:rsidRDefault="00000000" w:rsidRPr="00000000">
      <w:pPr>
        <w:numPr>
          <w:ilvl w:val="3"/>
          <w:numId w:val="2"/>
        </w:numPr>
        <w:ind w:left="288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Argatroban</w:t>
      </w:r>
    </w:p>
    <w:p w:rsidR="00000000" w:rsidDel="00000000" w:rsidP="00000000" w:rsidRDefault="00000000" w:rsidRPr="00000000">
      <w:pPr>
        <w:numPr>
          <w:ilvl w:val="3"/>
          <w:numId w:val="2"/>
        </w:numPr>
        <w:ind w:left="288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Lepirudin</w:t>
      </w:r>
    </w:p>
    <w:p w:rsidR="00000000" w:rsidDel="00000000" w:rsidP="00000000" w:rsidRDefault="00000000" w:rsidRPr="00000000">
      <w:pPr>
        <w:numPr>
          <w:ilvl w:val="3"/>
          <w:numId w:val="2"/>
        </w:numPr>
        <w:ind w:left="288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Bivalirudin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Side effects</w:t>
      </w:r>
    </w:p>
    <w:p w:rsidR="00000000" w:rsidDel="00000000" w:rsidP="00000000" w:rsidRDefault="00000000" w:rsidRPr="00000000">
      <w:pPr>
        <w:numPr>
          <w:ilvl w:val="3"/>
          <w:numId w:val="2"/>
        </w:numPr>
        <w:ind w:left="288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Can accumulate in body and cause bleeding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Monitored with aPTT</w:t>
      </w:r>
    </w:p>
    <w:p w:rsidR="00000000" w:rsidDel="00000000" w:rsidP="00000000" w:rsidRDefault="00000000" w:rsidRPr="00000000">
      <w:pPr>
        <w:numPr>
          <w:ilvl w:val="3"/>
          <w:numId w:val="2"/>
        </w:numPr>
        <w:ind w:left="288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1.5-3x baseline is goal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Expensive!!!!</w:t>
      </w:r>
    </w:p>
    <w:p w:rsidR="00000000" w:rsidDel="00000000" w:rsidP="00000000" w:rsidRDefault="00000000" w:rsidRPr="00000000">
      <w:pPr>
        <w:numPr>
          <w:ilvl w:val="3"/>
          <w:numId w:val="2"/>
        </w:numPr>
        <w:ind w:left="288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5 days for 70kg human is $5,400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Warfarin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Monitoring often precludes use in vet med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Factor Xa inhibitors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Rivaroxaban</w:t>
      </w:r>
    </w:p>
    <w:p w:rsidR="00000000" w:rsidDel="00000000" w:rsidP="00000000" w:rsidRDefault="00000000" w:rsidRPr="00000000">
      <w:pPr>
        <w:numPr>
          <w:ilvl w:val="3"/>
          <w:numId w:val="2"/>
        </w:numPr>
        <w:ind w:left="288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‘Not inferior’ to standard therapy</w:t>
      </w:r>
    </w:p>
    <w:p w:rsidR="00000000" w:rsidDel="00000000" w:rsidP="00000000" w:rsidRDefault="00000000" w:rsidRPr="00000000">
      <w:pPr>
        <w:numPr>
          <w:ilvl w:val="3"/>
          <w:numId w:val="2"/>
        </w:numPr>
        <w:ind w:left="288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not a lot of info at the time of publication of this paper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Thrombolytic therapy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Usually not necessary.  Reserved for patients with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hypotension associated with TE and not at risk of bleeding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Urokinase, Streptokinase, tPA, reteplase, tenecteplase have all been used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not enough info to show which is superior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Complications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Non-major bleeding</w:t>
      </w:r>
    </w:p>
    <w:p w:rsidR="00000000" w:rsidDel="00000000" w:rsidP="00000000" w:rsidRDefault="00000000" w:rsidRPr="00000000">
      <w:pPr>
        <w:numPr>
          <w:ilvl w:val="3"/>
          <w:numId w:val="2"/>
        </w:numPr>
        <w:ind w:left="288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22% of human patients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Intracranial bleeding</w:t>
      </w:r>
    </w:p>
    <w:p w:rsidR="00000000" w:rsidDel="00000000" w:rsidP="00000000" w:rsidRDefault="00000000" w:rsidRPr="00000000">
      <w:pPr>
        <w:numPr>
          <w:ilvl w:val="3"/>
          <w:numId w:val="2"/>
        </w:numPr>
        <w:ind w:left="288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uncommon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Major bleeding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Costly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targeted intrapulmonary infusion of tPA has not shown benefit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Inferior vena cava filter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Requires specialized equipment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Meant to prevent PTE from lower half of body (people most often get them for deep vein thrombosis in legs)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Surgery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Embolectomy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Very high risk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Indicated for critically ill patients from PTE who cannot have thrombolysis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Peripheral extracorporeal membrane oxygenation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rFonts w:ascii="Times New Roman" w:cs="Times New Roman" w:eastAsia="Times New Roman" w:hAnsi="Times New Roman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being explored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Questions: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There are many goals of treatment of pulmonary thromboembolism.  All of the following are PRIMARY goals of treatment EXCEPT: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/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Prevention of further embolization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/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Prevention of extension of thrombi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/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Increase right ventricular preload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/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Restoration of pulmonary artery patency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/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Prevention of pulmonary hypertension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The anticoagulation mechanism of action of rivaroxaban is __________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The common domain of low molecular weight heparin, unfractionated heparin, and fondaparinux is a __________ which binds to and potentiates ___________</w:t>
      </w:r>
    </w:p>
    <w:p w:rsidR="00000000" w:rsidDel="00000000" w:rsidP="00000000" w:rsidRDefault="00000000" w:rsidRPr="00000000">
      <w:r w:rsidDel="00000000" w:rsidR="00000000" w:rsidRPr="00000000">
        <w:br w:type="page"/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There are many goals of treatment of pulmonary thromboembolism.  All of the following are PRIMARY goals of treatment EXCEPT: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/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Prevention of further embolization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/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Prevention of extension of thrombi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5"/>
          <w:szCs w:val="25"/>
          <w:highlight w:val="white"/>
          <w:rtl w:val="0"/>
        </w:rPr>
        <w:t xml:space="preserve">Increase right ventricular preload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/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Restoration of pulmonary artery patency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/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Prevention of pulmonary hypertension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The anticoagulation mechanism of action of rivaroxaban is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5"/>
          <w:szCs w:val="25"/>
          <w:highlight w:val="white"/>
          <w:rtl w:val="0"/>
        </w:rPr>
        <w:t xml:space="preserve"> factor Xa inhibition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The common domain of low molecular weight heparin, unfractionated heparin, and fondaparinux is 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5"/>
          <w:szCs w:val="25"/>
          <w:highlight w:val="white"/>
          <w:rtl w:val="0"/>
        </w:rPr>
        <w:t xml:space="preserve">pentasaccharide </w:t>
      </w: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highlight w:val="white"/>
          <w:rtl w:val="0"/>
        </w:rPr>
        <w:t xml:space="preserve">which binds to and potentiates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5"/>
          <w:szCs w:val="25"/>
          <w:highlight w:val="white"/>
          <w:rtl w:val="0"/>
        </w:rPr>
        <w:t xml:space="preserve">antithrombin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lowerLetter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firstLine="108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firstLine="324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firstLine="540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1.png"/></Relationships>
</file>