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1"/>
        <w:keepNext w:val="0"/>
        <w:keepLines w:val="0"/>
        <w:spacing w:before="480" w:lineRule="auto"/>
        <w:contextualSpacing w:val="0"/>
      </w:pPr>
      <w:bookmarkStart w:colFirst="0" w:colLast="0" w:name="h.r2hbtnzfiiid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Autologous blood transfusion in dogs with thoracic or abdominal hemorrhage: 25 cases (2007–2012)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Retrospective study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25 dogs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Mix of ruptured tumors, anticoagulant rat poison, vascular trauma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Unfortunately, no data about rise in PCV, changes in heart rate, pulse quality, blood pressure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Due to retrospective nature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Only got information about: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Change in coagulation testing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changes.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 prolongations, but these were usually from anticoagulant tox dogs which had prolongations anyway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Survival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differences between groups based on filter sizes, cavity of blood origin, method of autotransfusion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 dogs have hemolysis, but not clinical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 dogs had hypocalcemia, but not clinical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Conclusions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many, autotransfusion can be used.  Unsure if changes in metastatic potential with ruptured transfusion, can bridge time until “real” transfusion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