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Diagnosis and treatment of disseminated intravascular coagulation (DIC) according to four DIC guidelines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Three main types of DIC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Bleeding Type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Fibrinolysis is the predominant feature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Organ Failure Type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Coagulation without Fibrinolysis is the predominant feature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Majority of DIC phenotype for septic patients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Massive Bleeding Type (AKA: Consumption DIC)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Large amount of both coagulation and fibrinolysis leading to quick consumption of all clotting factors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Asymptomatic type is psuedo 4th type of DIC which is precursor to Massive bleeding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Major phenotype for obstetric diseases and post-surgical patients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Diagnosis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Scoring systems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Multiple exist, some of which are specific to individual types of DIC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Lab Tests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PT is prolonged in patients with DIC in approximately 50% of patients ‘at some point during their clinical course’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Serial platelet count decreases are highly suggestive of DIC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Main other rule out is bone marrow disease in people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Reduced fibrinogen is often seen in the massive bleeding type, but not in the organ failure type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Increases is FDPs or D-Dimers are sensitive but not specific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protein C or antithrombin levels are common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5654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All guidelines recommend treatment of underlying condition, but no good evidence is available for this!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Blood-products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All four guidelines recommend transfusing with platelet concentrate and FFP for patients actively bleeding or subclinical who are about to undergo invasive procedures with no high-quality evidence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Threshold platelet count for platelet concentrate is ≦ 50k with active bleeding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Initial dose of FFP is recommended at 15ml/kg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Anticoagulants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Heparin (low-molecular weight heparin over unfractionated) is recommended for subclinical DIC and for organ failure type DIC (especially those with sepsis)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Anti-fibrinolytics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Recommended for the treatment of massive bleeding and bleeding subtypes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thrombosis is a known complication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help with trauma induced DIC if given early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Nova Mono">
    <w:embedRegular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vaMono-regular.ttf"/></Relationships>
</file>