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Title"/>
        <w:keepNext w:val="0"/>
        <w:keepLines w:val="0"/>
        <w:spacing w:after="0" w:before="0" w:line="263.0769230769231" w:lineRule="auto"/>
        <w:contextualSpacing w:val="0"/>
      </w:pPr>
      <w:bookmarkStart w:colFirst="0" w:colLast="0" w:name="h.z3d9hplnbs3p" w:id="0"/>
      <w:bookmarkEnd w:id="0"/>
      <w:hyperlink r:id="rId5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Electrolyte and acid/base changes in dogs undergoing autologous blood transfusion via a cell salvage device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Title"/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bookmarkStart w:colFirst="0" w:colLast="0" w:name="h.qoq8t763mrxx" w:id="1"/>
      <w:bookmarkEnd w:id="1"/>
      <w:r w:rsidDel="00000000" w:rsidR="00000000" w:rsidRPr="00000000">
        <w:rPr>
          <w:sz w:val="24"/>
          <w:szCs w:val="24"/>
          <w:rtl w:val="0"/>
        </w:rPr>
        <w:t xml:space="preserve">Cell Salvage device uses centrifugation and washing to remove coagulation products (FDPs, D-Dimers, etc…) and cellular debris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</w:pPr>
      <w:r w:rsidDel="00000000" w:rsidR="00000000" w:rsidRPr="00000000">
        <w:rPr>
          <w:rtl w:val="0"/>
        </w:rPr>
        <w:t xml:space="preserve">Retrospective, but with control dogs found with similar disease processes that had pRBCs transfused instead of autotransfusion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All transfusions were intraoperative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Electrolyte testing for all dogs pre and post transfusion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Calcium and magnesium were both decreased in dogs post autotransfusion 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Not for pRBC transfused dogs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signs of hypocalcemia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Less likely to survive than control dogs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Not clear why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Reasons for hypocalcemia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Calcium removed by cell salvage device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heparin used in collection can lower calcium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Reasons for hypomagnesemia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magnesium removed by cell salvage device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://europepmc.org/abstract/med/26345136" TargetMode="External"/></Relationships>
</file>