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4933950" cy="866775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866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848100" cy="809625"/>
            <wp:effectExtent b="0" l="0" r="0" t="0"/>
            <wp:docPr id="1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809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819525" cy="2152650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152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Retrospective part of study to develop model, then prospectively recruited patients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Independent, Non-echo risk factors for CHF were:</w:t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  <w:t xml:space="preserve">NT-proBNP &gt;1500pmol/L </w:t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  <w:t xml:space="preserve">VHS &gt;12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 xml:space="preserve">Echo risk factors were increased La:Ao &gt;1.6, Increased LVIDd:Ao &gt;3.0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3.png"/><Relationship Id="rId6" Type="http://schemas.openxmlformats.org/officeDocument/2006/relationships/image" Target="media/image02.png"/><Relationship Id="rId7" Type="http://schemas.openxmlformats.org/officeDocument/2006/relationships/image" Target="media/image05.png"/></Relationships>
</file>