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Efficacy of Benazepril Hydrochloride to Delay the Progression of Occult Dilated Cardiomyopathy in Doberman Pinschers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3149600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 American College of Cardiology and the American Heart Association guidelines recommend the use of ACEI therapy in people with asymptomatic LV dysfunction.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Retrospective study with Dobies that either got ACEI or no ACEI (could have gotten B-blockers, anti-arrhythmics, or thyroid supplements)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Dobies diagnosed with occult DCM via echo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No dogs that died prior to CHF were in study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91 Dobies; 57 in ACEI, 35 in no ACEI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Weight was only significant difference in groups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Average dose was 0.5mg/kg/day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Significant difference between groups in multi and univariate analysis with ACEI showing improvement in time to onset of CHF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 dogs that received benazapril had less likelihood of going into CHF or sudden death (not individually, but when those end-points were grouped together)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In general, ACEI group were dogs enrolled at a later date than other dogs, so maybe just an improvement in overall therapy.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/Relationships>
</file>