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The prevalence of clinical pancreatitis is approximately ______, while up to _____ of dogs can have histopathologic changes at necropsy regardless of clinical signs pre-mortem.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5%, 50%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0.8%, 65%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0.5%, 20%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3%, 80%</w:t>
        <w:br w:type="textWrapping"/>
        <w:br w:type="textWrapping"/>
        <w:br w:type="textWrapping"/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True or False: Part of the pathogenesis of canine pancreatitis includes paracellular leakage of active enzymes into the interstitial space from the pancreatic ducts.</w:t>
        <w:br w:type="textWrapping"/>
        <w:br w:type="textWrapping"/>
        <w:br w:type="textWrapping"/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The two breeds consistently shown to be at higher risk of pancreatitis are ______ and _____.</w:t>
        <w:br w:type="textWrapping"/>
        <w:br w:type="textWrapping"/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True or False: Early enteral feeding is dogs has been shown to be contraindicated due to increases in cholecystokinin release causing increased pancreatic enzyme production and perpetuation of inflammation.</w:t>
        <w:br w:type="textWrapping"/>
        <w:br w:type="textWrapping"/>
      </w:r>
    </w:p>
    <w:p w:rsidR="00000000" w:rsidDel="00000000" w:rsidP="00000000" w:rsidRDefault="00000000" w:rsidRPr="00000000">
      <w:r w:rsidDel="00000000" w:rsidR="00000000" w:rsidRPr="00000000">
        <w:rPr>
          <w:rtl w:val="0"/>
        </w:rPr>
        <w:t xml:space="preserve">Name two antibiotics that have reach therapeutic levels within pancreatic tissues.</w:t>
        <w:br w:type="textWrapping"/>
        <w:br w:type="textWrapping"/>
        <w:br w:type="textWrapping"/>
        <w:br w:type="textWrapping"/>
        <w:br w:type="textWrapping"/>
        <w:br w:type="textWrapping"/>
        <w:br w:type="textWrapping"/>
        <w:br w:type="textWrapping"/>
        <w:br w:type="textWrapping"/>
      </w:r>
      <w:r w:rsidDel="00000000" w:rsidR="00000000" w:rsidRPr="00000000">
        <w:br w:type="page"/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br w:type="textWrapping"/>
        <w:t xml:space="preserve">Answers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b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True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Miniature schnauzers and Yorkshire terriers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False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Cefotaxime</w:t>
      </w:r>
    </w:p>
    <w:p w:rsidR="00000000" w:rsidDel="00000000" w:rsidP="00000000" w:rsidRDefault="00000000" w:rsidRPr="00000000">
      <w:pPr>
        <w:ind w:firstLine="720"/>
        <w:contextualSpacing w:val="0"/>
      </w:pPr>
      <w:r w:rsidDel="00000000" w:rsidR="00000000" w:rsidRPr="00000000">
        <w:rPr>
          <w:rtl w:val="0"/>
        </w:rPr>
        <w:t xml:space="preserve">Ciprofloxacin</w:t>
      </w:r>
    </w:p>
    <w:p w:rsidR="00000000" w:rsidDel="00000000" w:rsidP="00000000" w:rsidRDefault="00000000" w:rsidRPr="00000000">
      <w:pPr>
        <w:ind w:firstLine="720"/>
        <w:contextualSpacing w:val="0"/>
      </w:pPr>
      <w:r w:rsidDel="00000000" w:rsidR="00000000" w:rsidRPr="00000000">
        <w:rPr>
          <w:rtl w:val="0"/>
        </w:rPr>
        <w:t xml:space="preserve">metronidazole</w:t>
      </w:r>
    </w:p>
    <w:p w:rsidR="00000000" w:rsidDel="00000000" w:rsidP="00000000" w:rsidRDefault="00000000" w:rsidRPr="00000000">
      <w:pPr>
        <w:ind w:firstLine="720"/>
        <w:contextualSpacing w:val="0"/>
      </w:pPr>
      <w:r w:rsidDel="00000000" w:rsidR="00000000" w:rsidRPr="00000000">
        <w:rPr>
          <w:rtl w:val="0"/>
        </w:rPr>
        <w:t xml:space="preserve">clindamycin</w:t>
      </w:r>
    </w:p>
    <w:p w:rsidR="00000000" w:rsidDel="00000000" w:rsidP="00000000" w:rsidRDefault="00000000" w:rsidRPr="00000000">
      <w:pPr>
        <w:ind w:firstLine="720"/>
        <w:contextualSpacing w:val="0"/>
      </w:pPr>
      <w:r w:rsidDel="00000000" w:rsidR="00000000" w:rsidRPr="00000000">
        <w:rPr>
          <w:rtl w:val="0"/>
        </w:rPr>
        <w:t xml:space="preserve">chloramphenicol</w:t>
        <w:br w:type="textWrapping"/>
      </w:r>
    </w:p>
    <w:sectPr>
      <w:pgSz w:h="15840" w:w="12240"/>
      <w:pgMar w:bottom="1440" w:top="1440" w:left="1440" w:right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  <w:font w:name="Trebuchet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00" w:lineRule="auto"/>
      <w:contextualSpacing w:val="1"/>
    </w:pPr>
    <w:rPr>
      <w:rFonts w:ascii="Trebuchet MS" w:cs="Trebuchet MS" w:eastAsia="Trebuchet MS" w:hAnsi="Trebuchet MS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  <w:contextualSpacing w:val="1"/>
    </w:pPr>
    <w:rPr>
      <w:rFonts w:ascii="Trebuchet MS" w:cs="Trebuchet MS" w:eastAsia="Trebuchet MS" w:hAnsi="Trebuchet MS"/>
      <w:b w:val="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160" w:lineRule="auto"/>
      <w:contextualSpacing w:val="1"/>
    </w:pPr>
    <w:rPr>
      <w:rFonts w:ascii="Trebuchet MS" w:cs="Trebuchet MS" w:eastAsia="Trebuchet MS" w:hAnsi="Trebuchet MS"/>
      <w:b w:val="1"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160" w:lineRule="auto"/>
      <w:contextualSpacing w:val="1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160" w:lineRule="auto"/>
      <w:contextualSpacing w:val="1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160" w:lineRule="auto"/>
      <w:contextualSpacing w:val="1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0" w:before="0" w:lineRule="auto"/>
      <w:contextualSpacing w:val="1"/>
    </w:pPr>
    <w:rPr>
      <w:rFonts w:ascii="Trebuchet MS" w:cs="Trebuchet MS" w:eastAsia="Trebuchet MS" w:hAnsi="Trebuchet MS"/>
      <w:sz w:val="42"/>
      <w:szCs w:val="42"/>
    </w:rPr>
  </w:style>
  <w:style w:type="paragraph" w:styleId="Subtitle">
    <w:name w:val="Subtitle"/>
    <w:basedOn w:val="Normal"/>
    <w:next w:val="Normal"/>
    <w:pPr>
      <w:keepNext w:val="1"/>
      <w:keepLines w:val="1"/>
      <w:spacing w:after="200" w:before="0" w:lineRule="auto"/>
      <w:contextualSpacing w:val="1"/>
    </w:pPr>
    <w:rPr>
      <w:rFonts w:ascii="Trebuchet MS" w:cs="Trebuchet MS" w:eastAsia="Trebuchet MS" w:hAnsi="Trebuchet MS"/>
      <w:i w:val="1"/>
      <w:color w:val="666666"/>
      <w:sz w:val="26"/>
      <w:szCs w:val="26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/Relationships>
</file>