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2009F8" w14:textId="77777777" w:rsidR="00C8435D" w:rsidRDefault="00C8435D" w:rsidP="00C8435D">
      <w:r>
        <w:t xml:space="preserve">Vet </w:t>
      </w:r>
      <w:proofErr w:type="spellStart"/>
      <w:r>
        <w:t>Anaesth</w:t>
      </w:r>
      <w:proofErr w:type="spellEnd"/>
      <w:r>
        <w:t xml:space="preserve"> </w:t>
      </w:r>
      <w:proofErr w:type="spellStart"/>
      <w:r>
        <w:t>Analg</w:t>
      </w:r>
      <w:proofErr w:type="spellEnd"/>
      <w:r>
        <w:t>. 2014 May; 41(3)</w:t>
      </w:r>
      <w:proofErr w:type="gramStart"/>
      <w:r>
        <w:t>:233</w:t>
      </w:r>
      <w:proofErr w:type="gramEnd"/>
      <w:r>
        <w:t>-42</w:t>
      </w:r>
    </w:p>
    <w:p w14:paraId="5D2B6B8C" w14:textId="77777777" w:rsidR="00C8435D" w:rsidRPr="00C8435D" w:rsidRDefault="00C8435D" w:rsidP="00C8435D">
      <w:pPr>
        <w:jc w:val="both"/>
        <w:rPr>
          <w:b/>
        </w:rPr>
      </w:pPr>
      <w:r w:rsidRPr="00C8435D">
        <w:rPr>
          <w:b/>
        </w:rPr>
        <w:t>Canine and feline blood transfusions: controversies and recent advances in administration practices.</w:t>
      </w:r>
    </w:p>
    <w:p w14:paraId="65C9CED2" w14:textId="77777777" w:rsidR="00C8435D" w:rsidRDefault="00C8435D" w:rsidP="00C8435D"/>
    <w:p w14:paraId="0A103CE3" w14:textId="77777777" w:rsidR="00C8435D" w:rsidRDefault="00C8435D" w:rsidP="00C8435D">
      <w:pPr>
        <w:jc w:val="both"/>
      </w:pPr>
      <w:r w:rsidRPr="00C8435D">
        <w:rPr>
          <w:b/>
        </w:rPr>
        <w:t>OBJECTIVES:</w:t>
      </w:r>
      <w:r>
        <w:t xml:space="preserve"> To discuss and review blood transfusion practices in dogs and cats including collection and storage of blood and administration of products. To report new developments, controversial practices, less conventional blood product administration techniques and where applicable, describe the relevance to </w:t>
      </w:r>
      <w:proofErr w:type="spellStart"/>
      <w:r>
        <w:t>anaesthetists</w:t>
      </w:r>
      <w:proofErr w:type="spellEnd"/>
      <w:r>
        <w:t xml:space="preserve"> and </w:t>
      </w:r>
      <w:proofErr w:type="spellStart"/>
      <w:r>
        <w:t>anaesthesia</w:t>
      </w:r>
      <w:proofErr w:type="spellEnd"/>
      <w:r>
        <w:t>.</w:t>
      </w:r>
    </w:p>
    <w:p w14:paraId="2BFC87D7" w14:textId="77777777" w:rsidR="00C8435D" w:rsidRDefault="00C8435D" w:rsidP="00C8435D">
      <w:pPr>
        <w:jc w:val="both"/>
      </w:pPr>
    </w:p>
    <w:p w14:paraId="11F3FF80" w14:textId="77777777" w:rsidR="00C8435D" w:rsidRDefault="00C8435D" w:rsidP="00C8435D">
      <w:pPr>
        <w:jc w:val="both"/>
      </w:pPr>
      <w:r w:rsidRPr="00C8435D">
        <w:rPr>
          <w:b/>
        </w:rPr>
        <w:t>DATABASES USED:</w:t>
      </w:r>
      <w:r>
        <w:t xml:space="preserve"> PubMed and Google Scholar using dog, cat, blood transfusion, packed red blood cells and whole blood as keywords.</w:t>
      </w:r>
    </w:p>
    <w:p w14:paraId="589D9469" w14:textId="77777777" w:rsidR="00C8435D" w:rsidRDefault="00C8435D" w:rsidP="00C8435D">
      <w:pPr>
        <w:jc w:val="both"/>
      </w:pPr>
    </w:p>
    <w:p w14:paraId="305361DA" w14:textId="77777777" w:rsidR="009C411F" w:rsidRDefault="00C8435D" w:rsidP="00C8435D">
      <w:pPr>
        <w:jc w:val="both"/>
      </w:pPr>
      <w:r w:rsidRPr="00C8435D">
        <w:rPr>
          <w:b/>
        </w:rPr>
        <w:t>CONCLUSIONS:</w:t>
      </w:r>
      <w:r>
        <w:t xml:space="preserve"> Blood transfusions improve oxygen carrying capacity and the clinical signs of </w:t>
      </w:r>
      <w:proofErr w:type="spellStart"/>
      <w:r>
        <w:t>anaemia</w:t>
      </w:r>
      <w:proofErr w:type="spellEnd"/>
      <w:r>
        <w:t xml:space="preserve">. However there are numerous potential risks and complications possible with transfusions, which may outweigh their benefits. Storage of blood products has improved considerably over time but whilst extended storage times may improve their availability, a phenomenon known as the storage lesion has been identified which affects erythrocyte viability and survival. </w:t>
      </w:r>
      <w:proofErr w:type="spellStart"/>
      <w:r>
        <w:t>Leukoreduction</w:t>
      </w:r>
      <w:proofErr w:type="spellEnd"/>
      <w:r>
        <w:t xml:space="preserve"> involves removing leukocytes and platelets thereby preventing their release of cytokines and bioactive </w:t>
      </w:r>
      <w:proofErr w:type="gramStart"/>
      <w:r>
        <w:t>compounds which also contribute</w:t>
      </w:r>
      <w:proofErr w:type="gramEnd"/>
      <w:r>
        <w:t xml:space="preserve"> to storage lesions and certain transfusion reactions. Newer transfusion techniques are being explored such as cell salvage in surgical patients and subsequent autologous transfusion. </w:t>
      </w:r>
      <w:proofErr w:type="spellStart"/>
      <w:r>
        <w:t>Xenotransfusions</w:t>
      </w:r>
      <w:proofErr w:type="spellEnd"/>
      <w:r>
        <w:t>, using blood and blood products between different species, provide an alternative to conventional blood products.</w:t>
      </w:r>
    </w:p>
    <w:p w14:paraId="09DDBCA5" w14:textId="77777777" w:rsidR="00C8435D" w:rsidRDefault="00C8435D" w:rsidP="00C8435D">
      <w:pPr>
        <w:jc w:val="both"/>
      </w:pPr>
    </w:p>
    <w:p w14:paraId="1A9AAE41" w14:textId="77777777" w:rsidR="00C8435D" w:rsidRDefault="00C8435D" w:rsidP="00767A7C">
      <w:pPr>
        <w:pStyle w:val="Paragraphedeliste"/>
        <w:jc w:val="both"/>
      </w:pPr>
    </w:p>
    <w:p w14:paraId="3B1BC2D0" w14:textId="77777777" w:rsidR="00C8435D" w:rsidRDefault="00C8435D" w:rsidP="00C8435D">
      <w:pPr>
        <w:jc w:val="both"/>
      </w:pPr>
    </w:p>
    <w:p w14:paraId="330D7F2E" w14:textId="77777777" w:rsidR="00C8435D" w:rsidRDefault="00C8435D" w:rsidP="00C8435D">
      <w:pPr>
        <w:jc w:val="both"/>
      </w:pPr>
    </w:p>
    <w:p w14:paraId="27D4C47B" w14:textId="77777777" w:rsidR="00C8435D" w:rsidRDefault="00C8435D" w:rsidP="00C8435D">
      <w:pPr>
        <w:jc w:val="both"/>
      </w:pPr>
    </w:p>
    <w:p w14:paraId="28826213" w14:textId="77777777" w:rsidR="00C8435D" w:rsidRDefault="00C8435D" w:rsidP="00C8435D">
      <w:pPr>
        <w:jc w:val="both"/>
      </w:pPr>
    </w:p>
    <w:p w14:paraId="2CF94001" w14:textId="77777777" w:rsidR="00C8435D" w:rsidRDefault="00C8435D" w:rsidP="00C8435D">
      <w:pPr>
        <w:jc w:val="both"/>
      </w:pPr>
    </w:p>
    <w:p w14:paraId="71193CAE" w14:textId="77777777" w:rsidR="00C8435D" w:rsidRDefault="00C8435D" w:rsidP="00C8435D">
      <w:pPr>
        <w:jc w:val="both"/>
      </w:pPr>
    </w:p>
    <w:p w14:paraId="7039C2A3" w14:textId="77777777" w:rsidR="00C8435D" w:rsidRDefault="00C8435D" w:rsidP="00C8435D">
      <w:pPr>
        <w:jc w:val="both"/>
      </w:pPr>
    </w:p>
    <w:p w14:paraId="72ECE8EA" w14:textId="77777777" w:rsidR="00C8435D" w:rsidRDefault="00C8435D" w:rsidP="00C8435D">
      <w:pPr>
        <w:jc w:val="both"/>
      </w:pPr>
    </w:p>
    <w:p w14:paraId="05B04309" w14:textId="77777777" w:rsidR="00C8435D" w:rsidRDefault="00C8435D" w:rsidP="00C8435D">
      <w:pPr>
        <w:jc w:val="both"/>
      </w:pPr>
    </w:p>
    <w:p w14:paraId="560864A5" w14:textId="77777777" w:rsidR="00C8435D" w:rsidRDefault="00C8435D" w:rsidP="00C8435D">
      <w:pPr>
        <w:jc w:val="both"/>
      </w:pPr>
    </w:p>
    <w:p w14:paraId="1B09E682" w14:textId="77777777" w:rsidR="00C8435D" w:rsidRDefault="00C8435D" w:rsidP="00C8435D">
      <w:pPr>
        <w:jc w:val="both"/>
      </w:pPr>
    </w:p>
    <w:p w14:paraId="65DCD786" w14:textId="77777777" w:rsidR="00C8435D" w:rsidRDefault="00C8435D" w:rsidP="00C8435D">
      <w:pPr>
        <w:jc w:val="both"/>
      </w:pPr>
    </w:p>
    <w:p w14:paraId="644528C3" w14:textId="77777777" w:rsidR="00C8435D" w:rsidRDefault="00C8435D" w:rsidP="00C8435D">
      <w:pPr>
        <w:jc w:val="both"/>
      </w:pPr>
    </w:p>
    <w:p w14:paraId="4C39AF0F" w14:textId="77777777" w:rsidR="00C8435D" w:rsidRDefault="00C8435D" w:rsidP="00C8435D">
      <w:pPr>
        <w:jc w:val="both"/>
      </w:pPr>
    </w:p>
    <w:p w14:paraId="5BFDB3B4" w14:textId="77777777" w:rsidR="00C8435D" w:rsidRDefault="00C8435D" w:rsidP="00C8435D">
      <w:pPr>
        <w:jc w:val="both"/>
      </w:pPr>
    </w:p>
    <w:p w14:paraId="2EE3F7C1" w14:textId="77777777" w:rsidR="00C8435D" w:rsidRDefault="00C8435D" w:rsidP="00C8435D">
      <w:pPr>
        <w:jc w:val="both"/>
      </w:pPr>
    </w:p>
    <w:p w14:paraId="7AA46826" w14:textId="77777777" w:rsidR="00C8435D" w:rsidRDefault="00C8435D" w:rsidP="00C8435D">
      <w:pPr>
        <w:jc w:val="both"/>
      </w:pPr>
    </w:p>
    <w:p w14:paraId="103C6D1F" w14:textId="77777777" w:rsidR="00C8435D" w:rsidRDefault="00C8435D" w:rsidP="00C8435D">
      <w:pPr>
        <w:jc w:val="both"/>
      </w:pPr>
    </w:p>
    <w:p w14:paraId="793306B7" w14:textId="77777777" w:rsidR="00C8435D" w:rsidRDefault="00C8435D" w:rsidP="00C8435D">
      <w:pPr>
        <w:jc w:val="both"/>
      </w:pPr>
    </w:p>
    <w:p w14:paraId="35958D1F" w14:textId="77777777" w:rsidR="00C8435D" w:rsidRDefault="00C8435D" w:rsidP="00C8435D">
      <w:pPr>
        <w:jc w:val="both"/>
      </w:pPr>
    </w:p>
    <w:p w14:paraId="4553B4CE" w14:textId="77777777" w:rsidR="00C8435D" w:rsidRDefault="00C8435D" w:rsidP="00C8435D">
      <w:pPr>
        <w:jc w:val="both"/>
      </w:pPr>
    </w:p>
    <w:p w14:paraId="374C14CF" w14:textId="77777777" w:rsidR="00C8435D" w:rsidRDefault="00C8435D" w:rsidP="00C8435D">
      <w:pPr>
        <w:jc w:val="both"/>
      </w:pPr>
      <w:r>
        <w:lastRenderedPageBreak/>
        <w:t xml:space="preserve">Vet </w:t>
      </w:r>
      <w:proofErr w:type="spellStart"/>
      <w:r>
        <w:t>Anaesth</w:t>
      </w:r>
      <w:proofErr w:type="spellEnd"/>
      <w:r>
        <w:t xml:space="preserve"> </w:t>
      </w:r>
      <w:proofErr w:type="spellStart"/>
      <w:r>
        <w:t>Analg</w:t>
      </w:r>
      <w:proofErr w:type="spellEnd"/>
      <w:r>
        <w:t>. 2014 May</w:t>
      </w:r>
      <w:proofErr w:type="gramStart"/>
      <w:r>
        <w:t>;</w:t>
      </w:r>
      <w:proofErr w:type="gramEnd"/>
      <w:r>
        <w:t xml:space="preserve"> 41(3): 259-68. </w:t>
      </w:r>
    </w:p>
    <w:p w14:paraId="7CC71818" w14:textId="77777777" w:rsidR="00C8435D" w:rsidRPr="00C8435D" w:rsidRDefault="00C8435D" w:rsidP="00C8435D">
      <w:pPr>
        <w:jc w:val="both"/>
        <w:rPr>
          <w:b/>
        </w:rPr>
      </w:pPr>
      <w:proofErr w:type="gramStart"/>
      <w:r w:rsidRPr="00C8435D">
        <w:rPr>
          <w:b/>
        </w:rPr>
        <w:t>Predictors of outcome in dogs undergoing thoracic surgery (2002-2011).</w:t>
      </w:r>
      <w:proofErr w:type="gramEnd"/>
    </w:p>
    <w:p w14:paraId="7CF45B2F" w14:textId="77777777" w:rsidR="00C8435D" w:rsidRDefault="00C8435D" w:rsidP="00C8435D">
      <w:pPr>
        <w:jc w:val="both"/>
      </w:pPr>
    </w:p>
    <w:p w14:paraId="455B0DB0" w14:textId="77777777" w:rsidR="00C8435D" w:rsidRDefault="00C8435D" w:rsidP="00C8435D">
      <w:pPr>
        <w:jc w:val="both"/>
      </w:pPr>
      <w:r>
        <w:t>OBJECTIVE: To evaluate mortality in a canine population undergoing thoracic surgery and identify factors which may be associated with outcome.</w:t>
      </w:r>
    </w:p>
    <w:p w14:paraId="5128FD44" w14:textId="77777777" w:rsidR="00C8435D" w:rsidRDefault="00C8435D" w:rsidP="00C8435D">
      <w:pPr>
        <w:jc w:val="both"/>
      </w:pPr>
    </w:p>
    <w:p w14:paraId="2C88FBDC" w14:textId="77777777" w:rsidR="00C8435D" w:rsidRDefault="00C8435D" w:rsidP="00C8435D">
      <w:pPr>
        <w:jc w:val="both"/>
      </w:pPr>
      <w:r>
        <w:t>STUDY DESIGN: Retrospective cohort study.</w:t>
      </w:r>
    </w:p>
    <w:p w14:paraId="1E32FED1" w14:textId="77777777" w:rsidR="00C8435D" w:rsidRDefault="00C8435D" w:rsidP="00C8435D">
      <w:pPr>
        <w:jc w:val="both"/>
      </w:pPr>
    </w:p>
    <w:p w14:paraId="25664DE0" w14:textId="77777777" w:rsidR="00C8435D" w:rsidRDefault="00C8435D" w:rsidP="00C8435D">
      <w:pPr>
        <w:jc w:val="both"/>
      </w:pPr>
      <w:r>
        <w:t xml:space="preserve">ANIMALS: 286 dogs anaesthetized for thoracic surgery at the Royal Veterinary College </w:t>
      </w:r>
      <w:proofErr w:type="gramStart"/>
      <w:r>
        <w:t>between June 2002 - June 2011</w:t>
      </w:r>
      <w:proofErr w:type="gramEnd"/>
      <w:r>
        <w:t>.</w:t>
      </w:r>
    </w:p>
    <w:p w14:paraId="60C65BD2" w14:textId="77777777" w:rsidR="00C8435D" w:rsidRDefault="00C8435D" w:rsidP="00C8435D">
      <w:pPr>
        <w:jc w:val="both"/>
      </w:pPr>
    </w:p>
    <w:p w14:paraId="34BD7223" w14:textId="77777777" w:rsidR="00C8435D" w:rsidRDefault="00C8435D" w:rsidP="00C8435D">
      <w:pPr>
        <w:jc w:val="both"/>
      </w:pPr>
      <w:r>
        <w:t>METHODS: Variables examined included: signalment; ASA status; nature of disease; presence of co-morbidities; pre-</w:t>
      </w:r>
      <w:proofErr w:type="spellStart"/>
      <w:r>
        <w:t>anaesthetic</w:t>
      </w:r>
      <w:proofErr w:type="spellEnd"/>
      <w:r>
        <w:t xml:space="preserve"> oxygen requirement; surgical approach; </w:t>
      </w:r>
      <w:proofErr w:type="spellStart"/>
      <w:r>
        <w:t>anaesthesia</w:t>
      </w:r>
      <w:proofErr w:type="spellEnd"/>
      <w:r>
        <w:t xml:space="preserve"> management [</w:t>
      </w:r>
      <w:proofErr w:type="spellStart"/>
      <w:r>
        <w:t>anaesthetic</w:t>
      </w:r>
      <w:proofErr w:type="spellEnd"/>
      <w:r>
        <w:t xml:space="preserve"> agents; requirement for </w:t>
      </w:r>
      <w:proofErr w:type="spellStart"/>
      <w:r>
        <w:t>thoracocentesis</w:t>
      </w:r>
      <w:proofErr w:type="spellEnd"/>
      <w:r>
        <w:t xml:space="preserve">; central venous pressure measurement; duration of surgery and </w:t>
      </w:r>
      <w:proofErr w:type="spellStart"/>
      <w:r>
        <w:t>anaesthesia</w:t>
      </w:r>
      <w:proofErr w:type="spellEnd"/>
      <w:r>
        <w:t xml:space="preserve">; use of colloids, blood products, inotropes or neuromuscular blocking agents (NMBA)]. Outcome was defined as either non-survival to 24 hours after surgery or (having survived to 24 hours) to discharge. </w:t>
      </w:r>
      <w:proofErr w:type="spellStart"/>
      <w:r>
        <w:t>Univariate</w:t>
      </w:r>
      <w:proofErr w:type="spellEnd"/>
      <w:r>
        <w:t xml:space="preserve"> and multivariable logistic regressions were performed to identify risk factors associated with non-survival.</w:t>
      </w:r>
    </w:p>
    <w:p w14:paraId="62D0834D" w14:textId="77777777" w:rsidR="00C8435D" w:rsidRDefault="00C8435D" w:rsidP="00C8435D">
      <w:pPr>
        <w:jc w:val="both"/>
      </w:pPr>
    </w:p>
    <w:p w14:paraId="744A11F6" w14:textId="77777777" w:rsidR="00C8435D" w:rsidRDefault="00C8435D" w:rsidP="00C8435D">
      <w:pPr>
        <w:jc w:val="both"/>
      </w:pPr>
      <w:r>
        <w:t xml:space="preserve">RESULTS: Overall non-survival (excluding those </w:t>
      </w:r>
      <w:proofErr w:type="spellStart"/>
      <w:r>
        <w:t>euthanased</w:t>
      </w:r>
      <w:proofErr w:type="spellEnd"/>
      <w:r>
        <w:t>) to discharge was 5.9%. Non-survival was 2.2% at 24 hours and 3.6% at time of discharge. Non-survival to 24 hours was associated with pre-</w:t>
      </w:r>
      <w:proofErr w:type="spellStart"/>
      <w:r>
        <w:t>anaesthetic</w:t>
      </w:r>
      <w:proofErr w:type="spellEnd"/>
      <w:r>
        <w:t xml:space="preserve"> oxygen requirement (odds ratio (OR) 12.2 [95% CI 1.8-84.5]) and NMBA use (OR 9.6 [95% CI 1.6-57.9]). Non-survival to discharge was associated with surgical duration, with surgeries &gt;180 minutes having OR 16.9 [95% CI 2.0-144.0] compared to surgeries ≤90 minutes and blood product use (OR 4.6 [95% CI 1.3-14.6]). No association was found between ASA category and non-survival at 24 hours (OR 1.4 [95% CI 0.2-11.7]) or discharge (OR 4.4 [95% CI 0.6-34.3]). Significant associations were found between NMBA use and ASA category (p = 0.046), surgical duration (p = 0.002), use of colloids (p = 0.011), blood products (p = 0.001) and inotropes and/or vasopressors (p &lt; 0.001).</w:t>
      </w:r>
    </w:p>
    <w:p w14:paraId="58A00745" w14:textId="77777777" w:rsidR="00C8435D" w:rsidRDefault="00C8435D" w:rsidP="00C8435D">
      <w:pPr>
        <w:jc w:val="both"/>
      </w:pPr>
    </w:p>
    <w:p w14:paraId="0E43DA7B" w14:textId="77777777" w:rsidR="00C8435D" w:rsidRDefault="00C8435D" w:rsidP="00C8435D">
      <w:pPr>
        <w:jc w:val="both"/>
      </w:pPr>
      <w:r>
        <w:t>CONCLUSIONS AND CLINICAL RELEVANCE: Variables significantly associated with non-survival from canine thoracic surgery at 24 hours include NMBA use and pre-</w:t>
      </w:r>
      <w:proofErr w:type="spellStart"/>
      <w:r>
        <w:t>anaesthetic</w:t>
      </w:r>
      <w:proofErr w:type="spellEnd"/>
      <w:r>
        <w:t xml:space="preserve"> oxygen requirement. Blood product use and increasing surgical duration were associated with non-survival to hospital discharge. The associations may relate to the need for such products in the most complicated cases.</w:t>
      </w:r>
    </w:p>
    <w:p w14:paraId="5C215030" w14:textId="77777777" w:rsidR="00767A7C" w:rsidRDefault="00767A7C" w:rsidP="00C8435D">
      <w:pPr>
        <w:jc w:val="both"/>
      </w:pPr>
    </w:p>
    <w:p w14:paraId="050E216D" w14:textId="77777777" w:rsidR="00C8435D" w:rsidRDefault="00767A7C" w:rsidP="00767A7C">
      <w:pPr>
        <w:pStyle w:val="Paragraphedeliste"/>
        <w:numPr>
          <w:ilvl w:val="0"/>
          <w:numId w:val="2"/>
        </w:numPr>
        <w:jc w:val="both"/>
      </w:pPr>
      <w:r>
        <w:t>Less chance of survival if oxygen needed pre-op or if NMBA used</w:t>
      </w:r>
    </w:p>
    <w:p w14:paraId="0A24F9DD" w14:textId="77777777" w:rsidR="00767A7C" w:rsidRDefault="00767A7C" w:rsidP="00767A7C">
      <w:pPr>
        <w:pStyle w:val="Paragraphedeliste"/>
        <w:numPr>
          <w:ilvl w:val="0"/>
          <w:numId w:val="2"/>
        </w:numPr>
        <w:jc w:val="both"/>
      </w:pPr>
      <w:r>
        <w:t>Longer surgery associated with non survival</w:t>
      </w:r>
    </w:p>
    <w:p w14:paraId="47924DA7" w14:textId="77777777" w:rsidR="00767A7C" w:rsidRDefault="00767A7C" w:rsidP="00767A7C">
      <w:pPr>
        <w:pStyle w:val="Paragraphedeliste"/>
        <w:numPr>
          <w:ilvl w:val="0"/>
          <w:numId w:val="2"/>
        </w:numPr>
        <w:jc w:val="both"/>
      </w:pPr>
      <w:r>
        <w:t>Blood product use associated with non-survival</w:t>
      </w:r>
    </w:p>
    <w:p w14:paraId="52B9EC9D" w14:textId="77777777" w:rsidR="00C8435D" w:rsidRDefault="00C8435D" w:rsidP="00C8435D">
      <w:pPr>
        <w:jc w:val="both"/>
      </w:pPr>
    </w:p>
    <w:p w14:paraId="41B720EC" w14:textId="77777777" w:rsidR="00C8435D" w:rsidRDefault="00C8435D" w:rsidP="00C8435D">
      <w:pPr>
        <w:jc w:val="both"/>
      </w:pPr>
    </w:p>
    <w:p w14:paraId="2976C811" w14:textId="77777777" w:rsidR="00C8435D" w:rsidRDefault="00C8435D" w:rsidP="00C8435D">
      <w:pPr>
        <w:jc w:val="both"/>
      </w:pPr>
    </w:p>
    <w:p w14:paraId="4CE5EED8" w14:textId="77777777" w:rsidR="00767A7C" w:rsidRDefault="00767A7C" w:rsidP="00C8435D">
      <w:pPr>
        <w:jc w:val="both"/>
      </w:pPr>
    </w:p>
    <w:p w14:paraId="2C08B6ED" w14:textId="77777777" w:rsidR="00C8435D" w:rsidRDefault="00C8435D" w:rsidP="00C8435D">
      <w:pPr>
        <w:jc w:val="both"/>
      </w:pPr>
      <w:bookmarkStart w:id="0" w:name="_GoBack"/>
      <w:bookmarkEnd w:id="0"/>
      <w:r>
        <w:t xml:space="preserve">Vet </w:t>
      </w:r>
      <w:proofErr w:type="spellStart"/>
      <w:r>
        <w:t>Anaesth</w:t>
      </w:r>
      <w:proofErr w:type="spellEnd"/>
      <w:r>
        <w:t xml:space="preserve"> </w:t>
      </w:r>
      <w:proofErr w:type="spellStart"/>
      <w:r>
        <w:t>Analg</w:t>
      </w:r>
      <w:proofErr w:type="spellEnd"/>
      <w:r>
        <w:t>. 2014 Mar</w:t>
      </w:r>
      <w:proofErr w:type="gramStart"/>
      <w:r>
        <w:t>;</w:t>
      </w:r>
      <w:proofErr w:type="gramEnd"/>
      <w:r>
        <w:t xml:space="preserve"> 41(2): 127-36. </w:t>
      </w:r>
    </w:p>
    <w:p w14:paraId="655E6F7F" w14:textId="77777777" w:rsidR="00C8435D" w:rsidRPr="00C8435D" w:rsidRDefault="00C8435D" w:rsidP="00C8435D">
      <w:pPr>
        <w:jc w:val="both"/>
        <w:rPr>
          <w:b/>
        </w:rPr>
      </w:pPr>
      <w:r w:rsidRPr="00C8435D">
        <w:rPr>
          <w:b/>
        </w:rPr>
        <w:t>Prevalence and risk factors for canine post-anesthetic aspiration pneumonia (1999-2009): a multicenter study.</w:t>
      </w:r>
    </w:p>
    <w:p w14:paraId="72E84D53" w14:textId="77777777" w:rsidR="00C8435D" w:rsidRDefault="00C8435D" w:rsidP="00C8435D">
      <w:pPr>
        <w:jc w:val="both"/>
      </w:pPr>
    </w:p>
    <w:p w14:paraId="54EB6276" w14:textId="77777777" w:rsidR="00C8435D" w:rsidRDefault="00C8435D" w:rsidP="00C8435D">
      <w:pPr>
        <w:jc w:val="both"/>
      </w:pPr>
      <w:r>
        <w:t>OBJECTIVE: To determine the incidence of canine post-anesthetic aspiration pneumonia (AP) and to identify anesthetic agents, procedures and management factors associated with the development of AP.</w:t>
      </w:r>
    </w:p>
    <w:p w14:paraId="652D25B4" w14:textId="77777777" w:rsidR="00C8435D" w:rsidRDefault="00C8435D" w:rsidP="00C8435D">
      <w:pPr>
        <w:jc w:val="both"/>
      </w:pPr>
    </w:p>
    <w:p w14:paraId="100C4642" w14:textId="77777777" w:rsidR="00C8435D" w:rsidRDefault="00C8435D" w:rsidP="00C8435D">
      <w:pPr>
        <w:jc w:val="both"/>
      </w:pPr>
      <w:r>
        <w:t>STUDY DESIGN: Multicenter, randomized, case-controlled retrospective study.</w:t>
      </w:r>
    </w:p>
    <w:p w14:paraId="41EFF99D" w14:textId="77777777" w:rsidR="00C8435D" w:rsidRDefault="00C8435D" w:rsidP="00C8435D">
      <w:pPr>
        <w:jc w:val="both"/>
      </w:pPr>
    </w:p>
    <w:p w14:paraId="2E47D93F" w14:textId="77777777" w:rsidR="00C8435D" w:rsidRDefault="00C8435D" w:rsidP="00C8435D">
      <w:pPr>
        <w:jc w:val="both"/>
      </w:pPr>
      <w:r>
        <w:t>ANIMALS: Two hundred and forty dogs affected with AP and 488 unaffected control dogs.</w:t>
      </w:r>
    </w:p>
    <w:p w14:paraId="15661E3B" w14:textId="77777777" w:rsidR="00C8435D" w:rsidRDefault="00C8435D" w:rsidP="00C8435D">
      <w:pPr>
        <w:jc w:val="both"/>
      </w:pPr>
    </w:p>
    <w:p w14:paraId="09A276D5" w14:textId="77777777" w:rsidR="00C8435D" w:rsidRDefault="00C8435D" w:rsidP="00C8435D">
      <w:pPr>
        <w:jc w:val="both"/>
      </w:pPr>
      <w:r>
        <w:t xml:space="preserve">METHODS: Electronic medical record databases at six Veterinary colleges were searched for dogs, coded for anesthesia or sedation and pneumonia from January 1999 to December 2009. The resultant 2158 records were hand-searched to determine eligibility for inclusion. Diagnosis of AP was made </w:t>
      </w:r>
      <w:proofErr w:type="spellStart"/>
      <w:r>
        <w:t>radiographically</w:t>
      </w:r>
      <w:proofErr w:type="spellEnd"/>
      <w:r>
        <w:t xml:space="preserve">. Two unaffected control dogs were randomly selected for each affected dog, from a list of dogs that underwent sedation or anesthesia in the same time period and did not develop aspiration pneumonia. Fifty-seven factors were then evaluated for association with aspiration pneumonia. Data analysis was performed using </w:t>
      </w:r>
      <w:proofErr w:type="spellStart"/>
      <w:r>
        <w:t>univariate</w:t>
      </w:r>
      <w:proofErr w:type="spellEnd"/>
      <w:r>
        <w:t xml:space="preserve"> Chi-square or student t-tests, then multivariate logistic regression.</w:t>
      </w:r>
    </w:p>
    <w:p w14:paraId="38B5821A" w14:textId="77777777" w:rsidR="00C8435D" w:rsidRDefault="00C8435D" w:rsidP="00C8435D">
      <w:pPr>
        <w:jc w:val="both"/>
      </w:pPr>
    </w:p>
    <w:p w14:paraId="264CE62E" w14:textId="77777777" w:rsidR="00C8435D" w:rsidRDefault="00C8435D" w:rsidP="00C8435D">
      <w:pPr>
        <w:jc w:val="both"/>
      </w:pPr>
      <w:r>
        <w:t xml:space="preserve">RESULTS: Incidence of post-anesthetic AP was 0.17%, from 140,711 cases anesthetized or sedated over the </w:t>
      </w:r>
      <w:proofErr w:type="gramStart"/>
      <w:r>
        <w:t>10 year</w:t>
      </w:r>
      <w:proofErr w:type="gramEnd"/>
      <w:r>
        <w:t xml:space="preserve"> period. Two anesthesia-related events were significantly associated with development of AP: regurgitation and administration of </w:t>
      </w:r>
      <w:proofErr w:type="spellStart"/>
      <w:r>
        <w:t>hydromorphone</w:t>
      </w:r>
      <w:proofErr w:type="spellEnd"/>
      <w:r>
        <w:t xml:space="preserve"> at induction. Administration of anticholinergics was not associated with AP. Procedures associated with increased odds of aspiration pneumonia included laparotomy, upper airway surgery, neurosurgery, thoracotomy and endoscopy. Orthopedic surgery, ophthalmologic surgery, dental procedures, MRI, CT, bronchoscopy, cystoscopy, </w:t>
      </w:r>
      <w:proofErr w:type="spellStart"/>
      <w:r>
        <w:t>tracheoscopy</w:t>
      </w:r>
      <w:proofErr w:type="spellEnd"/>
      <w:r>
        <w:t xml:space="preserve"> and neutering were not associated with development of AP. Three patient factors were associated with the development of AP: megaesophagus, and a history of pre-existing respiratory or neurologic disease. Sixty-nine% of dogs with two or more of the above independent predictive variables developed AP.</w:t>
      </w:r>
    </w:p>
    <w:p w14:paraId="6F27382B" w14:textId="77777777" w:rsidR="00C8435D" w:rsidRDefault="00C8435D" w:rsidP="00C8435D">
      <w:pPr>
        <w:jc w:val="both"/>
      </w:pPr>
    </w:p>
    <w:p w14:paraId="4EA2B212" w14:textId="77777777" w:rsidR="00C8435D" w:rsidRDefault="00C8435D" w:rsidP="00C8435D">
      <w:pPr>
        <w:jc w:val="both"/>
      </w:pPr>
      <w:r>
        <w:t>CONCLUSION AND CLINICAL RELEVANCE: Most anesthetic agents and procedures were not associated with the development of AP. We need to devise and evaluate strategies to protect at risk patients.</w:t>
      </w:r>
    </w:p>
    <w:p w14:paraId="52963E78" w14:textId="77777777" w:rsidR="00767A7C" w:rsidRDefault="00767A7C" w:rsidP="00C8435D">
      <w:pPr>
        <w:jc w:val="both"/>
      </w:pPr>
    </w:p>
    <w:p w14:paraId="68E76AF1" w14:textId="77777777" w:rsidR="00767A7C" w:rsidRDefault="00767A7C" w:rsidP="00767A7C">
      <w:pPr>
        <w:pStyle w:val="Paragraphedeliste"/>
        <w:numPr>
          <w:ilvl w:val="0"/>
          <w:numId w:val="2"/>
        </w:numPr>
        <w:jc w:val="both"/>
      </w:pPr>
      <w:r>
        <w:t>Regurgitation was associated with development of AP</w:t>
      </w:r>
    </w:p>
    <w:p w14:paraId="10FE883B" w14:textId="77777777" w:rsidR="00767A7C" w:rsidRDefault="00767A7C" w:rsidP="00767A7C">
      <w:pPr>
        <w:pStyle w:val="Paragraphedeliste"/>
        <w:numPr>
          <w:ilvl w:val="0"/>
          <w:numId w:val="2"/>
        </w:numPr>
        <w:jc w:val="both"/>
      </w:pPr>
      <w:r>
        <w:t>Hydromorphone was associated with development of AP</w:t>
      </w:r>
    </w:p>
    <w:p w14:paraId="0FBCE966" w14:textId="77777777" w:rsidR="00767A7C" w:rsidRDefault="00767A7C" w:rsidP="00767A7C">
      <w:pPr>
        <w:pStyle w:val="Paragraphedeliste"/>
        <w:numPr>
          <w:ilvl w:val="0"/>
          <w:numId w:val="2"/>
        </w:numPr>
        <w:jc w:val="both"/>
      </w:pPr>
      <w:r>
        <w:t>Orthopedic and ophthalmologic surgeries, imaging, dental procedures were not associated with AP</w:t>
      </w:r>
    </w:p>
    <w:p w14:paraId="5D5296BD" w14:textId="77777777" w:rsidR="00767A7C" w:rsidRDefault="00767A7C" w:rsidP="00767A7C">
      <w:pPr>
        <w:pStyle w:val="Paragraphedeliste"/>
        <w:numPr>
          <w:ilvl w:val="0"/>
          <w:numId w:val="2"/>
        </w:numPr>
        <w:jc w:val="both"/>
      </w:pPr>
      <w:r>
        <w:t>Careful with patients with megaesophagus, respiratory or neurologic disease</w:t>
      </w:r>
    </w:p>
    <w:sectPr w:rsidR="00767A7C" w:rsidSect="00437961">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F045BE"/>
    <w:multiLevelType w:val="hybridMultilevel"/>
    <w:tmpl w:val="BCA23C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796158B9"/>
    <w:multiLevelType w:val="hybridMultilevel"/>
    <w:tmpl w:val="0DE8EF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35D"/>
    <w:rsid w:val="002C4D29"/>
    <w:rsid w:val="00437961"/>
    <w:rsid w:val="00767A7C"/>
    <w:rsid w:val="0082050A"/>
    <w:rsid w:val="009C411F"/>
    <w:rsid w:val="00C8435D"/>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1D3386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67A7C"/>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67A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991174">
      <w:bodyDiv w:val="1"/>
      <w:marLeft w:val="0"/>
      <w:marRight w:val="0"/>
      <w:marTop w:val="0"/>
      <w:marBottom w:val="0"/>
      <w:divBdr>
        <w:top w:val="none" w:sz="0" w:space="0" w:color="auto"/>
        <w:left w:val="none" w:sz="0" w:space="0" w:color="auto"/>
        <w:bottom w:val="none" w:sz="0" w:space="0" w:color="auto"/>
        <w:right w:val="none" w:sz="0" w:space="0" w:color="auto"/>
      </w:divBdr>
      <w:divsChild>
        <w:div w:id="1831559829">
          <w:marLeft w:val="0"/>
          <w:marRight w:val="0"/>
          <w:marTop w:val="0"/>
          <w:marBottom w:val="0"/>
          <w:divBdr>
            <w:top w:val="none" w:sz="0" w:space="0" w:color="auto"/>
            <w:left w:val="none" w:sz="0" w:space="0" w:color="auto"/>
            <w:bottom w:val="none" w:sz="0" w:space="0" w:color="auto"/>
            <w:right w:val="none" w:sz="0" w:space="0" w:color="auto"/>
          </w:divBdr>
        </w:div>
        <w:div w:id="339240638">
          <w:marLeft w:val="0"/>
          <w:marRight w:val="0"/>
          <w:marTop w:val="0"/>
          <w:marBottom w:val="0"/>
          <w:divBdr>
            <w:top w:val="none" w:sz="0" w:space="0" w:color="auto"/>
            <w:left w:val="none" w:sz="0" w:space="0" w:color="auto"/>
            <w:bottom w:val="none" w:sz="0" w:space="0" w:color="auto"/>
            <w:right w:val="none" w:sz="0" w:space="0" w:color="auto"/>
          </w:divBdr>
        </w:div>
        <w:div w:id="642278350">
          <w:marLeft w:val="0"/>
          <w:marRight w:val="0"/>
          <w:marTop w:val="0"/>
          <w:marBottom w:val="0"/>
          <w:divBdr>
            <w:top w:val="none" w:sz="0" w:space="0" w:color="auto"/>
            <w:left w:val="none" w:sz="0" w:space="0" w:color="auto"/>
            <w:bottom w:val="none" w:sz="0" w:space="0" w:color="auto"/>
            <w:right w:val="none" w:sz="0" w:space="0" w:color="auto"/>
          </w:divBdr>
        </w:div>
        <w:div w:id="1619872468">
          <w:marLeft w:val="0"/>
          <w:marRight w:val="0"/>
          <w:marTop w:val="0"/>
          <w:marBottom w:val="0"/>
          <w:divBdr>
            <w:top w:val="none" w:sz="0" w:space="0" w:color="auto"/>
            <w:left w:val="none" w:sz="0" w:space="0" w:color="auto"/>
            <w:bottom w:val="none" w:sz="0" w:space="0" w:color="auto"/>
            <w:right w:val="none" w:sz="0" w:space="0" w:color="auto"/>
          </w:divBdr>
          <w:divsChild>
            <w:div w:id="191281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983732">
      <w:bodyDiv w:val="1"/>
      <w:marLeft w:val="0"/>
      <w:marRight w:val="0"/>
      <w:marTop w:val="0"/>
      <w:marBottom w:val="0"/>
      <w:divBdr>
        <w:top w:val="none" w:sz="0" w:space="0" w:color="auto"/>
        <w:left w:val="none" w:sz="0" w:space="0" w:color="auto"/>
        <w:bottom w:val="none" w:sz="0" w:space="0" w:color="auto"/>
        <w:right w:val="none" w:sz="0" w:space="0" w:color="auto"/>
      </w:divBdr>
      <w:divsChild>
        <w:div w:id="662902020">
          <w:marLeft w:val="0"/>
          <w:marRight w:val="0"/>
          <w:marTop w:val="0"/>
          <w:marBottom w:val="0"/>
          <w:divBdr>
            <w:top w:val="none" w:sz="0" w:space="0" w:color="auto"/>
            <w:left w:val="none" w:sz="0" w:space="0" w:color="auto"/>
            <w:bottom w:val="none" w:sz="0" w:space="0" w:color="auto"/>
            <w:right w:val="none" w:sz="0" w:space="0" w:color="auto"/>
          </w:divBdr>
        </w:div>
        <w:div w:id="1362511557">
          <w:marLeft w:val="0"/>
          <w:marRight w:val="0"/>
          <w:marTop w:val="0"/>
          <w:marBottom w:val="0"/>
          <w:divBdr>
            <w:top w:val="none" w:sz="0" w:space="0" w:color="auto"/>
            <w:left w:val="none" w:sz="0" w:space="0" w:color="auto"/>
            <w:bottom w:val="none" w:sz="0" w:space="0" w:color="auto"/>
            <w:right w:val="none" w:sz="0" w:space="0" w:color="auto"/>
          </w:divBdr>
        </w:div>
        <w:div w:id="388387742">
          <w:marLeft w:val="0"/>
          <w:marRight w:val="0"/>
          <w:marTop w:val="0"/>
          <w:marBottom w:val="0"/>
          <w:divBdr>
            <w:top w:val="none" w:sz="0" w:space="0" w:color="auto"/>
            <w:left w:val="none" w:sz="0" w:space="0" w:color="auto"/>
            <w:bottom w:val="none" w:sz="0" w:space="0" w:color="auto"/>
            <w:right w:val="none" w:sz="0" w:space="0" w:color="auto"/>
          </w:divBdr>
        </w:div>
        <w:div w:id="1780442568">
          <w:marLeft w:val="0"/>
          <w:marRight w:val="0"/>
          <w:marTop w:val="0"/>
          <w:marBottom w:val="0"/>
          <w:divBdr>
            <w:top w:val="none" w:sz="0" w:space="0" w:color="auto"/>
            <w:left w:val="none" w:sz="0" w:space="0" w:color="auto"/>
            <w:bottom w:val="none" w:sz="0" w:space="0" w:color="auto"/>
            <w:right w:val="none" w:sz="0" w:space="0" w:color="auto"/>
          </w:divBdr>
          <w:divsChild>
            <w:div w:id="207581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9218">
      <w:bodyDiv w:val="1"/>
      <w:marLeft w:val="0"/>
      <w:marRight w:val="0"/>
      <w:marTop w:val="0"/>
      <w:marBottom w:val="0"/>
      <w:divBdr>
        <w:top w:val="none" w:sz="0" w:space="0" w:color="auto"/>
        <w:left w:val="none" w:sz="0" w:space="0" w:color="auto"/>
        <w:bottom w:val="none" w:sz="0" w:space="0" w:color="auto"/>
        <w:right w:val="none" w:sz="0" w:space="0" w:color="auto"/>
      </w:divBdr>
      <w:divsChild>
        <w:div w:id="1320961665">
          <w:marLeft w:val="0"/>
          <w:marRight w:val="0"/>
          <w:marTop w:val="0"/>
          <w:marBottom w:val="0"/>
          <w:divBdr>
            <w:top w:val="none" w:sz="0" w:space="0" w:color="auto"/>
            <w:left w:val="none" w:sz="0" w:space="0" w:color="auto"/>
            <w:bottom w:val="none" w:sz="0" w:space="0" w:color="auto"/>
            <w:right w:val="none" w:sz="0" w:space="0" w:color="auto"/>
          </w:divBdr>
        </w:div>
        <w:div w:id="1732314640">
          <w:marLeft w:val="0"/>
          <w:marRight w:val="0"/>
          <w:marTop w:val="0"/>
          <w:marBottom w:val="0"/>
          <w:divBdr>
            <w:top w:val="none" w:sz="0" w:space="0" w:color="auto"/>
            <w:left w:val="none" w:sz="0" w:space="0" w:color="auto"/>
            <w:bottom w:val="none" w:sz="0" w:space="0" w:color="auto"/>
            <w:right w:val="none" w:sz="0" w:space="0" w:color="auto"/>
          </w:divBdr>
        </w:div>
        <w:div w:id="477840135">
          <w:marLeft w:val="0"/>
          <w:marRight w:val="0"/>
          <w:marTop w:val="0"/>
          <w:marBottom w:val="0"/>
          <w:divBdr>
            <w:top w:val="none" w:sz="0" w:space="0" w:color="auto"/>
            <w:left w:val="none" w:sz="0" w:space="0" w:color="auto"/>
            <w:bottom w:val="none" w:sz="0" w:space="0" w:color="auto"/>
            <w:right w:val="none" w:sz="0" w:space="0" w:color="auto"/>
          </w:divBdr>
        </w:div>
        <w:div w:id="1918512834">
          <w:marLeft w:val="0"/>
          <w:marRight w:val="0"/>
          <w:marTop w:val="0"/>
          <w:marBottom w:val="0"/>
          <w:divBdr>
            <w:top w:val="none" w:sz="0" w:space="0" w:color="auto"/>
            <w:left w:val="none" w:sz="0" w:space="0" w:color="auto"/>
            <w:bottom w:val="none" w:sz="0" w:space="0" w:color="auto"/>
            <w:right w:val="none" w:sz="0" w:space="0" w:color="auto"/>
          </w:divBdr>
          <w:divsChild>
            <w:div w:id="782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1021</Words>
  <Characters>5617</Characters>
  <Application>Microsoft Macintosh Word</Application>
  <DocSecurity>0</DocSecurity>
  <Lines>46</Lines>
  <Paragraphs>13</Paragraphs>
  <ScaleCrop>false</ScaleCrop>
  <Company/>
  <LinksUpToDate>false</LinksUpToDate>
  <CharactersWithSpaces>6625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Jo-Annie Letendre</dc:creator>
  <cp:keywords/>
  <dc:description/>
  <cp:lastModifiedBy>Jo-Annie Letendre</cp:lastModifiedBy>
  <cp:revision>2</cp:revision>
  <dcterms:created xsi:type="dcterms:W3CDTF">2016-07-28T22:59:00Z</dcterms:created>
  <dcterms:modified xsi:type="dcterms:W3CDTF">2016-08-02T19:55:00Z</dcterms:modified>
</cp:coreProperties>
</file>