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B5A" w:rsidRDefault="003239B6">
      <w:bookmarkStart w:id="0" w:name="_GoBack"/>
      <w:bookmarkEnd w:id="0"/>
      <w:r>
        <w:rPr>
          <w:noProof/>
        </w:rPr>
        <w:drawing>
          <wp:inline distT="0" distB="0" distL="0" distR="0" wp14:anchorId="6282FF7A" wp14:editId="67B62318">
            <wp:extent cx="5943600" cy="373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733800"/>
                    </a:xfrm>
                    <a:prstGeom prst="rect">
                      <a:avLst/>
                    </a:prstGeom>
                  </pic:spPr>
                </pic:pic>
              </a:graphicData>
            </a:graphic>
          </wp:inline>
        </w:drawing>
      </w:r>
    </w:p>
    <w:p w:rsidR="004939A6" w:rsidRDefault="004939A6" w:rsidP="004939A6">
      <w:pPr>
        <w:spacing w:after="0" w:line="240" w:lineRule="auto"/>
        <w:rPr>
          <w:rFonts w:eastAsia="Times New Roman" w:cs="Arial"/>
        </w:rPr>
      </w:pPr>
      <w:r w:rsidRPr="00765A77">
        <w:rPr>
          <w:rFonts w:eastAsia="Times New Roman" w:cs="Arial"/>
          <w:b/>
          <w:u w:val="single"/>
        </w:rPr>
        <w:t>Design:</w:t>
      </w:r>
      <w:r w:rsidRPr="00765A77">
        <w:rPr>
          <w:rFonts w:eastAsia="Times New Roman" w:cs="Arial"/>
        </w:rPr>
        <w:t xml:space="preserve"> </w:t>
      </w:r>
      <w:r>
        <w:rPr>
          <w:rFonts w:eastAsia="Times New Roman" w:cs="Arial"/>
        </w:rPr>
        <w:t>Retrospective Study</w:t>
      </w:r>
      <w:r w:rsidRPr="00765A77">
        <w:rPr>
          <w:rFonts w:eastAsia="Times New Roman" w:cs="Arial"/>
        </w:rPr>
        <w:t xml:space="preserve"> </w:t>
      </w:r>
    </w:p>
    <w:p w:rsidR="004939A6" w:rsidRPr="00765A77" w:rsidRDefault="004939A6" w:rsidP="004939A6">
      <w:pPr>
        <w:spacing w:after="0" w:line="240" w:lineRule="auto"/>
        <w:rPr>
          <w:rFonts w:eastAsia="Times New Roman" w:cs="Arial"/>
        </w:rPr>
      </w:pPr>
    </w:p>
    <w:p w:rsidR="004939A6" w:rsidRDefault="004939A6" w:rsidP="004939A6">
      <w:pPr>
        <w:spacing w:after="0" w:line="240" w:lineRule="auto"/>
        <w:rPr>
          <w:rFonts w:eastAsia="Times New Roman" w:cs="Arial"/>
        </w:rPr>
      </w:pPr>
      <w:r w:rsidRPr="00765A77">
        <w:rPr>
          <w:rFonts w:eastAsia="Times New Roman" w:cs="Arial"/>
          <w:b/>
          <w:u w:val="single"/>
        </w:rPr>
        <w:t>Setting:</w:t>
      </w:r>
      <w:r>
        <w:rPr>
          <w:rFonts w:eastAsia="Times New Roman" w:cs="Arial"/>
        </w:rPr>
        <w:t xml:space="preserve"> Davis University</w:t>
      </w:r>
    </w:p>
    <w:p w:rsidR="004939A6" w:rsidRPr="00765A77" w:rsidRDefault="004939A6" w:rsidP="004939A6">
      <w:pPr>
        <w:spacing w:after="0" w:line="240" w:lineRule="auto"/>
        <w:rPr>
          <w:rFonts w:eastAsia="Times New Roman" w:cs="Arial"/>
        </w:rPr>
      </w:pPr>
    </w:p>
    <w:p w:rsidR="004939A6" w:rsidRDefault="004939A6" w:rsidP="004939A6">
      <w:pPr>
        <w:spacing w:after="0" w:line="240" w:lineRule="auto"/>
        <w:rPr>
          <w:rFonts w:eastAsia="Times New Roman" w:cs="Arial"/>
        </w:rPr>
      </w:pPr>
      <w:r w:rsidRPr="00765A77">
        <w:rPr>
          <w:rFonts w:eastAsia="Times New Roman" w:cs="Arial"/>
          <w:b/>
          <w:u w:val="single"/>
        </w:rPr>
        <w:t>Population:</w:t>
      </w:r>
      <w:r>
        <w:rPr>
          <w:rFonts w:eastAsia="Times New Roman" w:cs="Arial"/>
        </w:rPr>
        <w:t xml:space="preserve"> 1636 bacterial cultures from 1028 dogs</w:t>
      </w:r>
    </w:p>
    <w:p w:rsidR="004939A6" w:rsidRPr="00C75C5C" w:rsidRDefault="004939A6" w:rsidP="004939A6">
      <w:pPr>
        <w:pStyle w:val="ListParagraph"/>
        <w:spacing w:after="0" w:line="240" w:lineRule="auto"/>
        <w:rPr>
          <w:rFonts w:eastAsia="Times New Roman" w:cs="Arial"/>
        </w:rPr>
      </w:pPr>
    </w:p>
    <w:p w:rsidR="004939A6" w:rsidRDefault="004939A6" w:rsidP="004939A6">
      <w:pPr>
        <w:spacing w:after="0" w:line="240" w:lineRule="auto"/>
        <w:rPr>
          <w:rFonts w:eastAsia="Times New Roman" w:cs="Arial"/>
          <w:b/>
          <w:u w:val="single"/>
        </w:rPr>
      </w:pPr>
      <w:r w:rsidRPr="00221B0F">
        <w:rPr>
          <w:rFonts w:eastAsia="Times New Roman" w:cs="Arial"/>
          <w:b/>
          <w:u w:val="single"/>
        </w:rPr>
        <w:t>Intervention:</w:t>
      </w:r>
    </w:p>
    <w:p w:rsidR="00A71E40" w:rsidRDefault="00C56867" w:rsidP="00A71E40">
      <w:pPr>
        <w:pStyle w:val="ListParagraph"/>
        <w:numPr>
          <w:ilvl w:val="0"/>
          <w:numId w:val="9"/>
        </w:numPr>
        <w:spacing w:after="0" w:line="240" w:lineRule="auto"/>
        <w:rPr>
          <w:rFonts w:eastAsia="Times New Roman" w:cs="Arial"/>
        </w:rPr>
      </w:pPr>
      <w:r>
        <w:rPr>
          <w:rFonts w:eastAsia="Times New Roman" w:cs="Arial"/>
        </w:rPr>
        <w:t>Positive urine cultures with susceptibilities were identified between 2010-2013</w:t>
      </w:r>
    </w:p>
    <w:p w:rsidR="00C56867" w:rsidRDefault="00C56867" w:rsidP="00C56867">
      <w:pPr>
        <w:pStyle w:val="ListParagraph"/>
        <w:numPr>
          <w:ilvl w:val="0"/>
          <w:numId w:val="9"/>
        </w:numPr>
        <w:spacing w:after="0" w:line="240" w:lineRule="auto"/>
        <w:rPr>
          <w:rFonts w:eastAsia="Times New Roman" w:cs="Arial"/>
        </w:rPr>
      </w:pPr>
      <w:r>
        <w:rPr>
          <w:rFonts w:eastAsia="Times New Roman" w:cs="Arial"/>
        </w:rPr>
        <w:t xml:space="preserve">They were </w:t>
      </w:r>
      <w:r w:rsidRPr="00C56867">
        <w:rPr>
          <w:rFonts w:eastAsia="Times New Roman" w:cs="Arial"/>
        </w:rPr>
        <w:t>classified into uncomplicated, complicated or pyelonephritis</w:t>
      </w:r>
    </w:p>
    <w:p w:rsidR="00C56867" w:rsidRPr="00C56867" w:rsidRDefault="00C56867" w:rsidP="00C56867">
      <w:pPr>
        <w:pStyle w:val="ListParagraph"/>
        <w:numPr>
          <w:ilvl w:val="0"/>
          <w:numId w:val="9"/>
        </w:numPr>
        <w:spacing w:after="0" w:line="240" w:lineRule="auto"/>
        <w:rPr>
          <w:rFonts w:eastAsia="Times New Roman" w:cs="Arial"/>
        </w:rPr>
      </w:pPr>
      <w:r>
        <w:rPr>
          <w:rFonts w:eastAsia="Times New Roman" w:cs="Arial"/>
        </w:rPr>
        <w:t>Antimicrobials given within the past 30 days were recorded</w:t>
      </w:r>
    </w:p>
    <w:p w:rsidR="004939A6" w:rsidRDefault="004939A6" w:rsidP="004939A6">
      <w:pPr>
        <w:spacing w:after="0" w:line="240" w:lineRule="auto"/>
        <w:rPr>
          <w:rFonts w:ascii="Arial" w:eastAsia="Times New Roman" w:hAnsi="Arial" w:cs="Arial"/>
          <w:sz w:val="29"/>
          <w:szCs w:val="29"/>
        </w:rPr>
      </w:pPr>
    </w:p>
    <w:p w:rsidR="004939A6" w:rsidRDefault="004939A6" w:rsidP="004939A6">
      <w:pPr>
        <w:spacing w:after="0" w:line="240" w:lineRule="auto"/>
        <w:rPr>
          <w:rFonts w:eastAsia="Times New Roman" w:cs="Arial"/>
        </w:rPr>
      </w:pPr>
      <w:r>
        <w:rPr>
          <w:rFonts w:eastAsia="Times New Roman" w:cs="Arial"/>
          <w:b/>
          <w:u w:val="single"/>
        </w:rPr>
        <w:t>Results/</w:t>
      </w:r>
      <w:r w:rsidRPr="00765A77">
        <w:rPr>
          <w:rFonts w:eastAsia="Times New Roman" w:cs="Arial"/>
          <w:b/>
          <w:u w:val="single"/>
        </w:rPr>
        <w:t>O</w:t>
      </w:r>
      <w:r>
        <w:rPr>
          <w:rFonts w:eastAsia="Times New Roman" w:cs="Arial"/>
          <w:b/>
          <w:u w:val="single"/>
        </w:rPr>
        <w:t>utcome</w:t>
      </w:r>
      <w:r>
        <w:rPr>
          <w:rFonts w:eastAsia="Times New Roman" w:cs="Arial"/>
        </w:rPr>
        <w:t>:</w:t>
      </w:r>
    </w:p>
    <w:p w:rsidR="00C56867" w:rsidRPr="00C6443B" w:rsidRDefault="00C56867" w:rsidP="00C6443B">
      <w:pPr>
        <w:pStyle w:val="ListParagraph"/>
        <w:numPr>
          <w:ilvl w:val="0"/>
          <w:numId w:val="10"/>
        </w:numPr>
        <w:spacing w:after="0" w:line="240" w:lineRule="auto"/>
        <w:rPr>
          <w:rFonts w:eastAsia="Times New Roman" w:cs="Arial"/>
        </w:rPr>
      </w:pPr>
      <w:r>
        <w:rPr>
          <w:rFonts w:eastAsia="Times New Roman" w:cs="Arial"/>
        </w:rPr>
        <w:t>64.3% were &gt;7yr old, 30.4% between 1-7 years, 5.2% &lt;1yr</w:t>
      </w:r>
      <w:r w:rsidR="00C6443B">
        <w:rPr>
          <w:rFonts w:eastAsia="Times New Roman" w:cs="Arial"/>
        </w:rPr>
        <w:t xml:space="preserve">, </w:t>
      </w:r>
      <w:r w:rsidRPr="00C6443B">
        <w:rPr>
          <w:rFonts w:eastAsia="Times New Roman" w:cs="Arial"/>
        </w:rPr>
        <w:t>74% f</w:t>
      </w:r>
      <w:r w:rsidR="00C065E7" w:rsidRPr="00C6443B">
        <w:rPr>
          <w:rFonts w:eastAsia="Times New Roman" w:cs="Arial"/>
        </w:rPr>
        <w:t>emales (66.5 % spayed females)</w:t>
      </w:r>
    </w:p>
    <w:p w:rsidR="00C56867" w:rsidRDefault="00C56867" w:rsidP="00C56867">
      <w:pPr>
        <w:pStyle w:val="ListParagraph"/>
        <w:numPr>
          <w:ilvl w:val="0"/>
          <w:numId w:val="10"/>
        </w:numPr>
        <w:spacing w:after="0" w:line="240" w:lineRule="auto"/>
        <w:rPr>
          <w:rFonts w:eastAsia="Times New Roman" w:cs="Arial"/>
        </w:rPr>
      </w:pPr>
      <w:r>
        <w:rPr>
          <w:rFonts w:eastAsia="Times New Roman" w:cs="Arial"/>
        </w:rPr>
        <w:t xml:space="preserve">64.6% were considered complicated UTIs, 35.5% uncomplicated, </w:t>
      </w:r>
      <w:r w:rsidR="00C065E7">
        <w:rPr>
          <w:rFonts w:eastAsia="Times New Roman" w:cs="Arial"/>
        </w:rPr>
        <w:t>7.7% pyelonephritis</w:t>
      </w:r>
    </w:p>
    <w:p w:rsidR="00C065E7" w:rsidRDefault="00C6443B" w:rsidP="00C56867">
      <w:pPr>
        <w:pStyle w:val="ListParagraph"/>
        <w:numPr>
          <w:ilvl w:val="0"/>
          <w:numId w:val="10"/>
        </w:numPr>
        <w:spacing w:after="0" w:line="240" w:lineRule="auto"/>
        <w:rPr>
          <w:rFonts w:eastAsia="Times New Roman" w:cs="Arial"/>
        </w:rPr>
      </w:pPr>
      <w:r>
        <w:rPr>
          <w:rFonts w:eastAsia="Times New Roman" w:cs="Arial"/>
        </w:rPr>
        <w:t xml:space="preserve">Most common comorbidities: </w:t>
      </w:r>
      <w:r w:rsidR="00C065E7">
        <w:rPr>
          <w:rFonts w:eastAsia="Times New Roman" w:cs="Arial"/>
        </w:rPr>
        <w:t>immune suppression 34.7%, renal disease 30.4%, anatomic abnormalities 25.3%</w:t>
      </w:r>
    </w:p>
    <w:p w:rsidR="00C065E7" w:rsidRDefault="00C065E7" w:rsidP="00C56867">
      <w:pPr>
        <w:pStyle w:val="ListParagraph"/>
        <w:numPr>
          <w:ilvl w:val="0"/>
          <w:numId w:val="10"/>
        </w:numPr>
        <w:spacing w:after="0" w:line="240" w:lineRule="auto"/>
        <w:rPr>
          <w:rFonts w:eastAsia="Times New Roman" w:cs="Arial"/>
        </w:rPr>
      </w:pPr>
      <w:r>
        <w:rPr>
          <w:rFonts w:eastAsia="Times New Roman" w:cs="Arial"/>
        </w:rPr>
        <w:t>68.9% were gram negative (94% enteric), E. coli was the most common isolate, then Staphylococcus</w:t>
      </w:r>
    </w:p>
    <w:p w:rsidR="00C065E7" w:rsidRPr="00C56867" w:rsidRDefault="00C065E7" w:rsidP="00C56867">
      <w:pPr>
        <w:pStyle w:val="ListParagraph"/>
        <w:numPr>
          <w:ilvl w:val="0"/>
          <w:numId w:val="10"/>
        </w:numPr>
        <w:spacing w:after="0" w:line="240" w:lineRule="auto"/>
        <w:rPr>
          <w:rFonts w:eastAsia="Times New Roman" w:cs="Arial"/>
        </w:rPr>
      </w:pPr>
      <w:r>
        <w:rPr>
          <w:rFonts w:eastAsia="Times New Roman" w:cs="Arial"/>
        </w:rPr>
        <w:t>Complicated UTIs and pyelonephritis were more likely to be resistant to Amoxi/Clavulanic</w:t>
      </w:r>
    </w:p>
    <w:p w:rsidR="004939A6" w:rsidRPr="00765A77" w:rsidRDefault="004939A6" w:rsidP="004939A6">
      <w:pPr>
        <w:spacing w:after="0" w:line="240" w:lineRule="auto"/>
        <w:rPr>
          <w:rFonts w:eastAsia="Times New Roman" w:cs="Arial"/>
        </w:rPr>
      </w:pPr>
    </w:p>
    <w:p w:rsidR="004939A6" w:rsidRDefault="004939A6" w:rsidP="004939A6">
      <w:pPr>
        <w:spacing w:after="0" w:line="240" w:lineRule="auto"/>
        <w:rPr>
          <w:rFonts w:eastAsia="Times New Roman" w:cs="Arial"/>
          <w:b/>
          <w:u w:val="single"/>
        </w:rPr>
      </w:pPr>
      <w:r w:rsidRPr="00765A77">
        <w:rPr>
          <w:rFonts w:eastAsia="Times New Roman" w:cs="Arial"/>
          <w:b/>
          <w:u w:val="single"/>
        </w:rPr>
        <w:t>Take Home Message</w:t>
      </w:r>
      <w:r>
        <w:rPr>
          <w:rFonts w:eastAsia="Times New Roman" w:cs="Arial"/>
          <w:b/>
          <w:u w:val="single"/>
        </w:rPr>
        <w:t>:</w:t>
      </w:r>
    </w:p>
    <w:p w:rsidR="003239B6" w:rsidRDefault="00C6443B" w:rsidP="00C6443B">
      <w:pPr>
        <w:pStyle w:val="ListParagraph"/>
        <w:numPr>
          <w:ilvl w:val="0"/>
          <w:numId w:val="11"/>
        </w:numPr>
      </w:pPr>
      <w:r>
        <w:t>Routine culture and susceptibility is recommended in all cases suspicious of UTI</w:t>
      </w:r>
    </w:p>
    <w:p w:rsidR="00C6443B" w:rsidRDefault="00C6443B" w:rsidP="00C6443B">
      <w:pPr>
        <w:pStyle w:val="ListParagraph"/>
        <w:numPr>
          <w:ilvl w:val="0"/>
          <w:numId w:val="11"/>
        </w:numPr>
      </w:pPr>
      <w:r>
        <w:t>If patient has been on antibiotics in the past 30 days, drug resistance is likely</w:t>
      </w:r>
    </w:p>
    <w:p w:rsidR="00C6443B" w:rsidRDefault="00C6443B"/>
    <w:p w:rsidR="00C6443B" w:rsidRDefault="00C6443B"/>
    <w:p w:rsidR="003239B6" w:rsidRDefault="00A71E40">
      <w:r>
        <w:t xml:space="preserve">14% of dogs will have a UTI in their lifetime. Incidence in females is 26.6% and 6.2% in males. </w:t>
      </w:r>
    </w:p>
    <w:p w:rsidR="00A71E40" w:rsidRDefault="00A71E40">
      <w:r>
        <w:t xml:space="preserve">Urinary Tract Infection Classification: </w:t>
      </w:r>
    </w:p>
    <w:p w:rsidR="00A71E40" w:rsidRDefault="00A71E40" w:rsidP="00A71E40">
      <w:pPr>
        <w:pStyle w:val="ListParagraph"/>
        <w:numPr>
          <w:ilvl w:val="0"/>
          <w:numId w:val="8"/>
        </w:numPr>
      </w:pPr>
      <w:r>
        <w:t>Simple Uncomplicated: sporadic bacterial infection in a healthy individual</w:t>
      </w:r>
    </w:p>
    <w:p w:rsidR="00A71E40" w:rsidRDefault="00A71E40" w:rsidP="00A71E40">
      <w:pPr>
        <w:pStyle w:val="ListParagraph"/>
        <w:numPr>
          <w:ilvl w:val="0"/>
          <w:numId w:val="8"/>
        </w:numPr>
      </w:pPr>
      <w:r>
        <w:t>Complicated: UTI in the presence of an anatomic or functional abnormality, or in the presence of a comorbidity that predisposes to an infection, recurrent infection or treatment failure, pyelonephritis</w:t>
      </w:r>
    </w:p>
    <w:p w:rsidR="00C56867" w:rsidRDefault="00A71E40" w:rsidP="00A71E40">
      <w:r>
        <w:t xml:space="preserve">Empirical antibiotic treatment is common, urine cultures should be performed if possible as they may guide antimicrobial choice, and decrease antimicrobial resistance. </w:t>
      </w:r>
    </w:p>
    <w:p w:rsidR="00C6443B" w:rsidRDefault="00C56867" w:rsidP="00A71E40">
      <w:r>
        <w:t>Multi Drug Resistance: resistance to ≥3 antimicrobial classes</w:t>
      </w:r>
    </w:p>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r>
        <w:rPr>
          <w:noProof/>
        </w:rPr>
        <w:lastRenderedPageBreak/>
        <w:drawing>
          <wp:inline distT="0" distB="0" distL="0" distR="0" wp14:anchorId="1F3744D0" wp14:editId="06752C33">
            <wp:extent cx="5943600" cy="34391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439160"/>
                    </a:xfrm>
                    <a:prstGeom prst="rect">
                      <a:avLst/>
                    </a:prstGeom>
                  </pic:spPr>
                </pic:pic>
              </a:graphicData>
            </a:graphic>
          </wp:inline>
        </w:drawing>
      </w:r>
    </w:p>
    <w:p w:rsidR="00765A77" w:rsidRDefault="00765A77" w:rsidP="00765A77">
      <w:pPr>
        <w:spacing w:after="0" w:line="240" w:lineRule="auto"/>
        <w:rPr>
          <w:rFonts w:eastAsia="Times New Roman" w:cs="Arial"/>
        </w:rPr>
      </w:pPr>
      <w:r w:rsidRPr="00765A77">
        <w:rPr>
          <w:rFonts w:eastAsia="Times New Roman" w:cs="Arial"/>
          <w:b/>
          <w:u w:val="single"/>
        </w:rPr>
        <w:t>Design:</w:t>
      </w:r>
      <w:r w:rsidRPr="00765A77">
        <w:rPr>
          <w:rFonts w:eastAsia="Times New Roman" w:cs="Arial"/>
        </w:rPr>
        <w:t xml:space="preserve"> </w:t>
      </w:r>
      <w:r>
        <w:rPr>
          <w:rFonts w:eastAsia="Times New Roman" w:cs="Arial"/>
        </w:rPr>
        <w:t>Prospective Study</w:t>
      </w:r>
      <w:r w:rsidRPr="00765A77">
        <w:rPr>
          <w:rFonts w:eastAsia="Times New Roman" w:cs="Arial"/>
        </w:rPr>
        <w:t xml:space="preserve"> </w:t>
      </w:r>
    </w:p>
    <w:p w:rsidR="00221B0F" w:rsidRPr="00765A77" w:rsidRDefault="00221B0F" w:rsidP="00765A77">
      <w:pPr>
        <w:spacing w:after="0" w:line="240" w:lineRule="auto"/>
        <w:rPr>
          <w:rFonts w:eastAsia="Times New Roman" w:cs="Arial"/>
        </w:rPr>
      </w:pPr>
    </w:p>
    <w:p w:rsidR="00765A77" w:rsidRDefault="00765A77" w:rsidP="00765A77">
      <w:pPr>
        <w:spacing w:after="0" w:line="240" w:lineRule="auto"/>
        <w:rPr>
          <w:rFonts w:eastAsia="Times New Roman" w:cs="Arial"/>
        </w:rPr>
      </w:pPr>
      <w:r w:rsidRPr="00765A77">
        <w:rPr>
          <w:rFonts w:eastAsia="Times New Roman" w:cs="Arial"/>
          <w:b/>
          <w:u w:val="single"/>
        </w:rPr>
        <w:t>Setting:</w:t>
      </w:r>
      <w:r>
        <w:rPr>
          <w:rFonts w:eastAsia="Times New Roman" w:cs="Arial"/>
        </w:rPr>
        <w:t xml:space="preserve"> Tufts University</w:t>
      </w:r>
    </w:p>
    <w:p w:rsidR="00221B0F" w:rsidRPr="00765A77" w:rsidRDefault="00221B0F" w:rsidP="00765A77">
      <w:pPr>
        <w:spacing w:after="0" w:line="240" w:lineRule="auto"/>
        <w:rPr>
          <w:rFonts w:eastAsia="Times New Roman" w:cs="Arial"/>
        </w:rPr>
      </w:pPr>
    </w:p>
    <w:p w:rsidR="00765A77" w:rsidRDefault="00765A77" w:rsidP="00765A77">
      <w:pPr>
        <w:spacing w:after="0" w:line="240" w:lineRule="auto"/>
        <w:rPr>
          <w:rFonts w:eastAsia="Times New Roman" w:cs="Arial"/>
        </w:rPr>
      </w:pPr>
      <w:r w:rsidRPr="00765A77">
        <w:rPr>
          <w:rFonts w:eastAsia="Times New Roman" w:cs="Arial"/>
          <w:b/>
          <w:u w:val="single"/>
        </w:rPr>
        <w:t>Population:</w:t>
      </w:r>
      <w:r>
        <w:rPr>
          <w:rFonts w:eastAsia="Times New Roman" w:cs="Arial"/>
        </w:rPr>
        <w:t xml:space="preserve"> 21 dogs with ALD (DX by clinical signs and acute increase in bilirubin and ALT)</w:t>
      </w:r>
    </w:p>
    <w:p w:rsidR="00C75C5C" w:rsidRDefault="00C75C5C" w:rsidP="00C75C5C">
      <w:pPr>
        <w:pStyle w:val="ListParagraph"/>
        <w:numPr>
          <w:ilvl w:val="0"/>
          <w:numId w:val="5"/>
        </w:numPr>
        <w:spacing w:after="0" w:line="240" w:lineRule="auto"/>
        <w:rPr>
          <w:rFonts w:eastAsia="Times New Roman" w:cs="Arial"/>
        </w:rPr>
      </w:pPr>
      <w:r>
        <w:rPr>
          <w:rFonts w:eastAsia="Times New Roman" w:cs="Arial"/>
        </w:rPr>
        <w:t>Inclusion Criteria: acute onset clinical signs &lt;1 month, ↑Bili, ↑ALT &gt;3x normal</w:t>
      </w:r>
    </w:p>
    <w:p w:rsidR="00C75C5C" w:rsidRPr="00C75C5C" w:rsidRDefault="00C75C5C" w:rsidP="00C75C5C">
      <w:pPr>
        <w:pStyle w:val="ListParagraph"/>
        <w:numPr>
          <w:ilvl w:val="0"/>
          <w:numId w:val="5"/>
        </w:numPr>
        <w:spacing w:after="0" w:line="240" w:lineRule="auto"/>
        <w:rPr>
          <w:rFonts w:eastAsia="Times New Roman" w:cs="Arial"/>
        </w:rPr>
      </w:pPr>
      <w:r>
        <w:rPr>
          <w:rFonts w:eastAsia="Times New Roman" w:cs="Arial"/>
        </w:rPr>
        <w:t>Exclusion Criteria: drugs (steroids, NSAIDs, Fish oil, Vit K, antiplatelet, anticoag), comorbidities with coag</w:t>
      </w:r>
      <w:r w:rsidR="00BD3A66">
        <w:rPr>
          <w:rFonts w:eastAsia="Times New Roman" w:cs="Arial"/>
        </w:rPr>
        <w:t>ulation</w:t>
      </w:r>
      <w:r>
        <w:rPr>
          <w:rFonts w:eastAsia="Times New Roman" w:cs="Arial"/>
        </w:rPr>
        <w:t xml:space="preserve"> derangements</w:t>
      </w:r>
    </w:p>
    <w:p w:rsidR="00221B0F" w:rsidRDefault="00C75C5C" w:rsidP="00C75C5C">
      <w:pPr>
        <w:pStyle w:val="ListParagraph"/>
        <w:numPr>
          <w:ilvl w:val="0"/>
          <w:numId w:val="5"/>
        </w:numPr>
        <w:spacing w:after="0" w:line="240" w:lineRule="auto"/>
        <w:rPr>
          <w:rFonts w:eastAsia="Times New Roman" w:cs="Arial"/>
        </w:rPr>
      </w:pPr>
      <w:r>
        <w:rPr>
          <w:rFonts w:eastAsia="Times New Roman" w:cs="Arial"/>
        </w:rPr>
        <w:t xml:space="preserve">Acute Liver Failure: defined as </w:t>
      </w:r>
      <w:r w:rsidR="003107EA">
        <w:rPr>
          <w:rFonts w:eastAsia="Times New Roman" w:cs="Arial"/>
        </w:rPr>
        <w:t>ALD + PT &gt;1.5x</w:t>
      </w:r>
    </w:p>
    <w:p w:rsidR="00C75C5C" w:rsidRPr="00C75C5C" w:rsidRDefault="00C75C5C" w:rsidP="00C75C5C">
      <w:pPr>
        <w:pStyle w:val="ListParagraph"/>
        <w:spacing w:after="0" w:line="240" w:lineRule="auto"/>
        <w:rPr>
          <w:rFonts w:eastAsia="Times New Roman" w:cs="Arial"/>
        </w:rPr>
      </w:pPr>
    </w:p>
    <w:p w:rsidR="00765A77" w:rsidRDefault="00765A77" w:rsidP="00765A77">
      <w:pPr>
        <w:spacing w:after="0" w:line="240" w:lineRule="auto"/>
        <w:rPr>
          <w:rFonts w:eastAsia="Times New Roman" w:cs="Arial"/>
          <w:b/>
          <w:u w:val="single"/>
        </w:rPr>
      </w:pPr>
      <w:r w:rsidRPr="00221B0F">
        <w:rPr>
          <w:rFonts w:eastAsia="Times New Roman" w:cs="Arial"/>
          <w:b/>
          <w:u w:val="single"/>
        </w:rPr>
        <w:t>Intervention:</w:t>
      </w:r>
    </w:p>
    <w:p w:rsidR="00C75C5C" w:rsidRPr="00C75C5C" w:rsidRDefault="00C75C5C" w:rsidP="00C75C5C">
      <w:pPr>
        <w:pStyle w:val="ListParagraph"/>
        <w:numPr>
          <w:ilvl w:val="0"/>
          <w:numId w:val="6"/>
        </w:numPr>
        <w:spacing w:after="0" w:line="240" w:lineRule="auto"/>
        <w:rPr>
          <w:rFonts w:eastAsia="Times New Roman" w:cs="Arial"/>
        </w:rPr>
      </w:pPr>
      <w:r w:rsidRPr="00C75C5C">
        <w:rPr>
          <w:rFonts w:eastAsia="Times New Roman" w:cs="Arial"/>
        </w:rPr>
        <w:t xml:space="preserve">At admission: CBC, Chemistry, </w:t>
      </w:r>
      <w:r w:rsidR="0063654C">
        <w:rPr>
          <w:rFonts w:eastAsia="Times New Roman" w:cs="Arial"/>
        </w:rPr>
        <w:t>TEG, platelet count, hemostatic testing</w:t>
      </w:r>
    </w:p>
    <w:p w:rsidR="00765A77" w:rsidRDefault="00765A77" w:rsidP="00765A77">
      <w:pPr>
        <w:spacing w:after="0" w:line="240" w:lineRule="auto"/>
        <w:rPr>
          <w:rFonts w:ascii="Arial" w:eastAsia="Times New Roman" w:hAnsi="Arial" w:cs="Arial"/>
          <w:sz w:val="29"/>
          <w:szCs w:val="29"/>
        </w:rPr>
      </w:pPr>
    </w:p>
    <w:p w:rsidR="00765A77" w:rsidRDefault="0078780A" w:rsidP="00765A77">
      <w:pPr>
        <w:spacing w:after="0" w:line="240" w:lineRule="auto"/>
        <w:rPr>
          <w:rFonts w:eastAsia="Times New Roman" w:cs="Arial"/>
        </w:rPr>
      </w:pPr>
      <w:r>
        <w:rPr>
          <w:rFonts w:eastAsia="Times New Roman" w:cs="Arial"/>
          <w:b/>
          <w:u w:val="single"/>
        </w:rPr>
        <w:t>Results/</w:t>
      </w:r>
      <w:r w:rsidR="00765A77" w:rsidRPr="00765A77">
        <w:rPr>
          <w:rFonts w:eastAsia="Times New Roman" w:cs="Arial"/>
          <w:b/>
          <w:u w:val="single"/>
        </w:rPr>
        <w:t>O</w:t>
      </w:r>
      <w:r w:rsidR="00221B0F">
        <w:rPr>
          <w:rFonts w:eastAsia="Times New Roman" w:cs="Arial"/>
          <w:b/>
          <w:u w:val="single"/>
        </w:rPr>
        <w:t>utcome</w:t>
      </w:r>
      <w:r w:rsidR="00221B0F">
        <w:rPr>
          <w:rFonts w:eastAsia="Times New Roman" w:cs="Arial"/>
        </w:rPr>
        <w:t>:</w:t>
      </w:r>
    </w:p>
    <w:p w:rsidR="0078780A" w:rsidRDefault="0078780A" w:rsidP="0078780A">
      <w:pPr>
        <w:pStyle w:val="ListParagraph"/>
        <w:numPr>
          <w:ilvl w:val="0"/>
          <w:numId w:val="6"/>
        </w:numPr>
        <w:spacing w:after="0" w:line="240" w:lineRule="auto"/>
        <w:rPr>
          <w:rFonts w:eastAsia="Times New Roman" w:cs="Arial"/>
        </w:rPr>
      </w:pPr>
      <w:r>
        <w:rPr>
          <w:rFonts w:eastAsia="Times New Roman" w:cs="Arial"/>
        </w:rPr>
        <w:t>ALD dogs had ↓ platelet count and AT activity, and ↑ PT/aPTT and vWF activity</w:t>
      </w:r>
    </w:p>
    <w:p w:rsidR="0078780A" w:rsidRDefault="0078780A" w:rsidP="0078780A">
      <w:pPr>
        <w:pStyle w:val="ListParagraph"/>
        <w:numPr>
          <w:ilvl w:val="0"/>
          <w:numId w:val="6"/>
        </w:numPr>
        <w:spacing w:after="0" w:line="240" w:lineRule="auto"/>
        <w:rPr>
          <w:rFonts w:eastAsia="Times New Roman" w:cs="Arial"/>
        </w:rPr>
      </w:pPr>
      <w:r>
        <w:rPr>
          <w:rFonts w:eastAsia="Times New Roman" w:cs="Arial"/>
        </w:rPr>
        <w:t>All dogs had ↑ Bili, ALT, AST</w:t>
      </w:r>
    </w:p>
    <w:p w:rsidR="00B914E5" w:rsidRDefault="00B914E5" w:rsidP="0078780A">
      <w:pPr>
        <w:pStyle w:val="ListParagraph"/>
        <w:numPr>
          <w:ilvl w:val="0"/>
          <w:numId w:val="6"/>
        </w:numPr>
        <w:spacing w:after="0" w:line="240" w:lineRule="auto"/>
        <w:rPr>
          <w:rFonts w:eastAsia="Times New Roman" w:cs="Arial"/>
        </w:rPr>
      </w:pPr>
      <w:r>
        <w:rPr>
          <w:rFonts w:eastAsia="Times New Roman" w:cs="Arial"/>
        </w:rPr>
        <w:t>ALD dogs had ↓ angle, MA and G and significant ↑ in R and LY30</w:t>
      </w:r>
    </w:p>
    <w:p w:rsidR="00E657AD" w:rsidRDefault="00E657AD" w:rsidP="0078780A">
      <w:pPr>
        <w:pStyle w:val="ListParagraph"/>
        <w:numPr>
          <w:ilvl w:val="0"/>
          <w:numId w:val="6"/>
        </w:numPr>
        <w:spacing w:after="0" w:line="240" w:lineRule="auto"/>
        <w:rPr>
          <w:rFonts w:eastAsia="Times New Roman" w:cs="Arial"/>
        </w:rPr>
      </w:pPr>
      <w:r>
        <w:rPr>
          <w:rFonts w:eastAsia="Times New Roman" w:cs="Arial"/>
        </w:rPr>
        <w:t>Most dogs were found to be hypocoagulable (11/21) or normocoagulable (8/21) on TEG</w:t>
      </w:r>
    </w:p>
    <w:p w:rsidR="00E31A6D" w:rsidRDefault="00E31A6D" w:rsidP="0078780A">
      <w:pPr>
        <w:pStyle w:val="ListParagraph"/>
        <w:numPr>
          <w:ilvl w:val="0"/>
          <w:numId w:val="6"/>
        </w:numPr>
        <w:spacing w:after="0" w:line="240" w:lineRule="auto"/>
        <w:rPr>
          <w:rFonts w:eastAsia="Times New Roman" w:cs="Arial"/>
        </w:rPr>
      </w:pPr>
      <w:r>
        <w:rPr>
          <w:rFonts w:eastAsia="Times New Roman" w:cs="Arial"/>
        </w:rPr>
        <w:t>TEF was discordant with conventional coag testing 25% of the time</w:t>
      </w:r>
    </w:p>
    <w:p w:rsidR="00E31A6D" w:rsidRDefault="00E31A6D" w:rsidP="0078780A">
      <w:pPr>
        <w:pStyle w:val="ListParagraph"/>
        <w:numPr>
          <w:ilvl w:val="0"/>
          <w:numId w:val="6"/>
        </w:numPr>
        <w:spacing w:after="0" w:line="240" w:lineRule="auto"/>
        <w:rPr>
          <w:rFonts w:eastAsia="Times New Roman" w:cs="Arial"/>
        </w:rPr>
      </w:pPr>
      <w:r>
        <w:rPr>
          <w:rFonts w:eastAsia="Times New Roman" w:cs="Arial"/>
        </w:rPr>
        <w:t>↑ WBC correlated with LY30, suggesting inflammation affects the hyperfibrinolytic state</w:t>
      </w:r>
    </w:p>
    <w:p w:rsidR="00484B5E" w:rsidRPr="0078780A" w:rsidRDefault="00484B5E" w:rsidP="0078780A">
      <w:pPr>
        <w:pStyle w:val="ListParagraph"/>
        <w:numPr>
          <w:ilvl w:val="0"/>
          <w:numId w:val="6"/>
        </w:numPr>
        <w:spacing w:after="0" w:line="240" w:lineRule="auto"/>
        <w:rPr>
          <w:rFonts w:eastAsia="Times New Roman" w:cs="Arial"/>
        </w:rPr>
      </w:pPr>
      <w:r>
        <w:rPr>
          <w:rFonts w:eastAsia="Times New Roman" w:cs="Arial"/>
        </w:rPr>
        <w:t>Limitations: heterogenous etiologies, few liver biopsies were performed</w:t>
      </w:r>
    </w:p>
    <w:p w:rsidR="00221B0F" w:rsidRPr="00765A77" w:rsidRDefault="00221B0F" w:rsidP="00765A77">
      <w:pPr>
        <w:spacing w:after="0" w:line="240" w:lineRule="auto"/>
        <w:rPr>
          <w:rFonts w:eastAsia="Times New Roman" w:cs="Arial"/>
        </w:rPr>
      </w:pPr>
    </w:p>
    <w:p w:rsidR="00765A77" w:rsidRDefault="00765A77" w:rsidP="00765A77">
      <w:pPr>
        <w:spacing w:after="0" w:line="240" w:lineRule="auto"/>
        <w:rPr>
          <w:rFonts w:eastAsia="Times New Roman" w:cs="Arial"/>
          <w:b/>
          <w:u w:val="single"/>
        </w:rPr>
      </w:pPr>
      <w:r w:rsidRPr="00765A77">
        <w:rPr>
          <w:rFonts w:eastAsia="Times New Roman" w:cs="Arial"/>
          <w:b/>
          <w:u w:val="single"/>
        </w:rPr>
        <w:t>Take Home Message</w:t>
      </w:r>
      <w:r w:rsidR="00221B0F">
        <w:rPr>
          <w:rFonts w:eastAsia="Times New Roman" w:cs="Arial"/>
          <w:b/>
          <w:u w:val="single"/>
        </w:rPr>
        <w:t>:</w:t>
      </w:r>
    </w:p>
    <w:p w:rsidR="00221B0F" w:rsidRDefault="00221B0F" w:rsidP="00221B0F">
      <w:pPr>
        <w:pStyle w:val="ListParagraph"/>
        <w:numPr>
          <w:ilvl w:val="0"/>
          <w:numId w:val="4"/>
        </w:numPr>
        <w:spacing w:after="0" w:line="240" w:lineRule="auto"/>
        <w:rPr>
          <w:rFonts w:eastAsia="Times New Roman" w:cs="Arial"/>
        </w:rPr>
      </w:pPr>
      <w:r>
        <w:rPr>
          <w:rFonts w:eastAsia="Times New Roman" w:cs="Arial"/>
        </w:rPr>
        <w:t>ALD dogs tend to be hypocoagulable and have hyperfibrinolysis</w:t>
      </w:r>
    </w:p>
    <w:p w:rsidR="008D7EEB" w:rsidRDefault="00E31A6D" w:rsidP="00836BA7">
      <w:pPr>
        <w:pStyle w:val="ListParagraph"/>
        <w:numPr>
          <w:ilvl w:val="0"/>
          <w:numId w:val="4"/>
        </w:numPr>
        <w:spacing w:after="0" w:line="240" w:lineRule="auto"/>
        <w:rPr>
          <w:rFonts w:eastAsia="Times New Roman" w:cs="Arial"/>
        </w:rPr>
      </w:pPr>
      <w:r w:rsidRPr="005C4932">
        <w:rPr>
          <w:rFonts w:eastAsia="Times New Roman" w:cs="Arial"/>
        </w:rPr>
        <w:t>ALD dogs should have a TEG evaluated if available for transfusion decision</w:t>
      </w:r>
    </w:p>
    <w:p w:rsidR="005C4932" w:rsidRPr="005C4932" w:rsidRDefault="005C4932" w:rsidP="00836BA7">
      <w:pPr>
        <w:pStyle w:val="ListParagraph"/>
        <w:numPr>
          <w:ilvl w:val="0"/>
          <w:numId w:val="4"/>
        </w:numPr>
        <w:spacing w:after="0" w:line="240" w:lineRule="auto"/>
        <w:rPr>
          <w:rFonts w:eastAsia="Times New Roman" w:cs="Arial"/>
        </w:rPr>
      </w:pPr>
      <w:r>
        <w:rPr>
          <w:rFonts w:eastAsia="Times New Roman" w:cs="Arial"/>
        </w:rPr>
        <w:t>Plasma based Coag tests overestimate ↓ coagulation in early ALD</w:t>
      </w:r>
    </w:p>
    <w:p w:rsidR="0078780A" w:rsidRDefault="0078780A" w:rsidP="0078780A">
      <w:r>
        <w:lastRenderedPageBreak/>
        <w:t>Liver is involved in hemostasis (synthesis, clearance of procoagulants, anticoagulants and regulators of fibrinolysis).</w:t>
      </w:r>
    </w:p>
    <w:p w:rsidR="0078780A" w:rsidRDefault="0078780A" w:rsidP="0078780A">
      <w:pPr>
        <w:pStyle w:val="ListParagraph"/>
        <w:numPr>
          <w:ilvl w:val="0"/>
          <w:numId w:val="3"/>
        </w:numPr>
      </w:pPr>
      <w:r>
        <w:t>In humans, patients with acute liver disease (ALD), unless PT/PTT are markedly prolonged, these are not considered accurate predictors of bleeding. These may lead to overestimating bleeding risk for FNA or liver biopsy and lead to administration of costly and potentially harmful plasma transfusions.</w:t>
      </w:r>
    </w:p>
    <w:p w:rsidR="0078780A" w:rsidRDefault="0078780A" w:rsidP="0078780A">
      <w:pPr>
        <w:pStyle w:val="ListParagraph"/>
        <w:numPr>
          <w:ilvl w:val="0"/>
          <w:numId w:val="3"/>
        </w:numPr>
      </w:pPr>
      <w:r>
        <w:t>ALD patients are considered to balance their coagulation appropriately, they decrease synthesis of procoagulants factors balanced by their loss of anticoagulants.</w:t>
      </w:r>
    </w:p>
    <w:p w:rsidR="0078780A" w:rsidRDefault="0078780A" w:rsidP="0078780A">
      <w:pPr>
        <w:pStyle w:val="ListParagraph"/>
        <w:numPr>
          <w:ilvl w:val="0"/>
          <w:numId w:val="3"/>
        </w:numPr>
      </w:pPr>
      <w:r>
        <w:t>In the face of comorbidities such as infection, SIRS or neoplasia, this balance may shift.</w:t>
      </w:r>
    </w:p>
    <w:p w:rsidR="00484B5E" w:rsidRDefault="00484B5E" w:rsidP="0078780A">
      <w:pPr>
        <w:pStyle w:val="ListParagraph"/>
        <w:numPr>
          <w:ilvl w:val="0"/>
          <w:numId w:val="3"/>
        </w:numPr>
      </w:pPr>
      <w:r>
        <w:t xml:space="preserve">Hypercoagulability in ALD in humans has been associated with increases in fibrinogen concentration and evidence of endothelial dysfunction </w:t>
      </w:r>
    </w:p>
    <w:p w:rsidR="0078780A" w:rsidRDefault="0078780A" w:rsidP="0078780A">
      <w:r>
        <w:t>TEG evaluation has been used to guide transfusion requirements and has been shown to decrease use of blood products, increase patient survival in humans and is more reliable than PT in predicting GI rebleeding and sepsis-induced hypocoagulability.</w:t>
      </w:r>
    </w:p>
    <w:p w:rsidR="00B914E5" w:rsidRDefault="00B914E5" w:rsidP="0078780A">
      <w:r>
        <w:t>TEG:</w:t>
      </w:r>
    </w:p>
    <w:p w:rsidR="00B914E5" w:rsidRDefault="00B914E5" w:rsidP="00C9196F">
      <w:pPr>
        <w:pStyle w:val="ListParagraph"/>
        <w:numPr>
          <w:ilvl w:val="0"/>
          <w:numId w:val="7"/>
        </w:numPr>
      </w:pPr>
      <w:r>
        <w:t>R: measure of initial fibrin formation</w:t>
      </w:r>
    </w:p>
    <w:p w:rsidR="00B914E5" w:rsidRDefault="00B914E5" w:rsidP="00C9196F">
      <w:pPr>
        <w:pStyle w:val="ListParagraph"/>
        <w:numPr>
          <w:ilvl w:val="0"/>
          <w:numId w:val="7"/>
        </w:numPr>
      </w:pPr>
      <w:r>
        <w:t>K: clot formation time</w:t>
      </w:r>
    </w:p>
    <w:p w:rsidR="00B914E5" w:rsidRDefault="00B914E5" w:rsidP="00C9196F">
      <w:pPr>
        <w:pStyle w:val="ListParagraph"/>
        <w:numPr>
          <w:ilvl w:val="0"/>
          <w:numId w:val="7"/>
        </w:numPr>
      </w:pPr>
      <w:r>
        <w:t>Angle: rapidity of fibrin cross-linking</w:t>
      </w:r>
    </w:p>
    <w:p w:rsidR="00B914E5" w:rsidRDefault="00B914E5" w:rsidP="00C9196F">
      <w:pPr>
        <w:pStyle w:val="ListParagraph"/>
        <w:numPr>
          <w:ilvl w:val="0"/>
          <w:numId w:val="7"/>
        </w:numPr>
      </w:pPr>
      <w:r>
        <w:t>MA: clot firmness</w:t>
      </w:r>
    </w:p>
    <w:p w:rsidR="004939A6" w:rsidRDefault="00C9196F" w:rsidP="004939A6">
      <w:pPr>
        <w:pStyle w:val="ListParagraph"/>
        <w:numPr>
          <w:ilvl w:val="0"/>
          <w:numId w:val="7"/>
        </w:numPr>
      </w:pPr>
      <w:r>
        <w:t>LY30: % clot lysis 30 min after MA is reached</w:t>
      </w:r>
    </w:p>
    <w:p w:rsidR="003239B6" w:rsidRDefault="004939A6">
      <w:r>
        <w:rPr>
          <w:noProof/>
          <w:color w:val="0000FF"/>
        </w:rPr>
        <w:drawing>
          <wp:inline distT="0" distB="0" distL="0" distR="0">
            <wp:extent cx="5943600" cy="3022745"/>
            <wp:effectExtent l="0" t="0" r="0" b="6350"/>
            <wp:docPr id="4" name="Picture 4" descr="http://www.revcolanest.com.co/imatges/342/342v40n03/grande/342v40n03-90149965fig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colanest.com.co/imatges/342/342v40n03/grande/342v40n03-90149965fig3.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22745"/>
                    </a:xfrm>
                    <a:prstGeom prst="rect">
                      <a:avLst/>
                    </a:prstGeom>
                    <a:noFill/>
                    <a:ln>
                      <a:noFill/>
                    </a:ln>
                  </pic:spPr>
                </pic:pic>
              </a:graphicData>
            </a:graphic>
          </wp:inline>
        </w:drawing>
      </w:r>
    </w:p>
    <w:p w:rsidR="003239B6" w:rsidRDefault="003239B6"/>
    <w:p w:rsidR="003239B6" w:rsidRDefault="003239B6">
      <w:r>
        <w:rPr>
          <w:noProof/>
        </w:rPr>
        <w:lastRenderedPageBreak/>
        <w:drawing>
          <wp:inline distT="0" distB="0" distL="0" distR="0" wp14:anchorId="2F541F4E" wp14:editId="7BBC90C7">
            <wp:extent cx="5943600" cy="3223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223895"/>
                    </a:xfrm>
                    <a:prstGeom prst="rect">
                      <a:avLst/>
                    </a:prstGeom>
                  </pic:spPr>
                </pic:pic>
              </a:graphicData>
            </a:graphic>
          </wp:inline>
        </w:drawing>
      </w:r>
    </w:p>
    <w:p w:rsidR="003239B6" w:rsidRDefault="003239B6"/>
    <w:p w:rsidR="004939A6" w:rsidRDefault="004939A6" w:rsidP="004939A6">
      <w:pPr>
        <w:spacing w:after="0" w:line="240" w:lineRule="auto"/>
        <w:rPr>
          <w:rFonts w:eastAsia="Times New Roman" w:cs="Arial"/>
        </w:rPr>
      </w:pPr>
      <w:r w:rsidRPr="00765A77">
        <w:rPr>
          <w:rFonts w:eastAsia="Times New Roman" w:cs="Arial"/>
          <w:b/>
          <w:u w:val="single"/>
        </w:rPr>
        <w:t>Design:</w:t>
      </w:r>
      <w:r w:rsidRPr="00765A77">
        <w:rPr>
          <w:rFonts w:eastAsia="Times New Roman" w:cs="Arial"/>
        </w:rPr>
        <w:t xml:space="preserve"> </w:t>
      </w:r>
      <w:r>
        <w:rPr>
          <w:rFonts w:eastAsia="Times New Roman" w:cs="Arial"/>
        </w:rPr>
        <w:t>Prospective Pilot Study</w:t>
      </w:r>
      <w:r w:rsidRPr="00765A77">
        <w:rPr>
          <w:rFonts w:eastAsia="Times New Roman" w:cs="Arial"/>
        </w:rPr>
        <w:t xml:space="preserve"> </w:t>
      </w:r>
    </w:p>
    <w:p w:rsidR="004939A6" w:rsidRPr="00765A77" w:rsidRDefault="004939A6" w:rsidP="004939A6">
      <w:pPr>
        <w:spacing w:after="0" w:line="240" w:lineRule="auto"/>
        <w:rPr>
          <w:rFonts w:eastAsia="Times New Roman" w:cs="Arial"/>
        </w:rPr>
      </w:pPr>
    </w:p>
    <w:p w:rsidR="004939A6" w:rsidRDefault="004939A6" w:rsidP="004939A6">
      <w:pPr>
        <w:spacing w:after="0" w:line="240" w:lineRule="auto"/>
        <w:rPr>
          <w:rFonts w:eastAsia="Times New Roman" w:cs="Arial"/>
        </w:rPr>
      </w:pPr>
      <w:r w:rsidRPr="00765A77">
        <w:rPr>
          <w:rFonts w:eastAsia="Times New Roman" w:cs="Arial"/>
          <w:b/>
          <w:u w:val="single"/>
        </w:rPr>
        <w:t>Setting:</w:t>
      </w:r>
      <w:r>
        <w:rPr>
          <w:rFonts w:eastAsia="Times New Roman" w:cs="Arial"/>
        </w:rPr>
        <w:t xml:space="preserve"> University of Guelph</w:t>
      </w:r>
    </w:p>
    <w:p w:rsidR="004939A6" w:rsidRPr="00765A77" w:rsidRDefault="004939A6" w:rsidP="004939A6">
      <w:pPr>
        <w:spacing w:after="0" w:line="240" w:lineRule="auto"/>
        <w:rPr>
          <w:rFonts w:eastAsia="Times New Roman" w:cs="Arial"/>
        </w:rPr>
      </w:pPr>
    </w:p>
    <w:p w:rsidR="004939A6" w:rsidRDefault="004939A6" w:rsidP="004939A6">
      <w:pPr>
        <w:spacing w:after="0" w:line="240" w:lineRule="auto"/>
        <w:rPr>
          <w:rFonts w:eastAsia="Times New Roman" w:cs="Arial"/>
        </w:rPr>
      </w:pPr>
      <w:r w:rsidRPr="00765A77">
        <w:rPr>
          <w:rFonts w:eastAsia="Times New Roman" w:cs="Arial"/>
          <w:b/>
          <w:u w:val="single"/>
        </w:rPr>
        <w:t>Population:</w:t>
      </w:r>
      <w:r>
        <w:rPr>
          <w:rFonts w:eastAsia="Times New Roman" w:cs="Arial"/>
        </w:rPr>
        <w:t xml:space="preserve"> </w:t>
      </w:r>
      <w:r w:rsidR="00DD1E79">
        <w:rPr>
          <w:rFonts w:eastAsia="Times New Roman" w:cs="Arial"/>
        </w:rPr>
        <w:t xml:space="preserve">5 </w:t>
      </w:r>
      <w:r w:rsidR="00090788">
        <w:rPr>
          <w:rFonts w:eastAsia="Times New Roman" w:cs="Arial"/>
        </w:rPr>
        <w:t>dogs with non-septic abdominal effusion</w:t>
      </w:r>
      <w:r w:rsidR="00DD1E79">
        <w:rPr>
          <w:rFonts w:eastAsia="Times New Roman" w:cs="Arial"/>
        </w:rPr>
        <w:t>, 12 dogs with septic abdomen</w:t>
      </w:r>
    </w:p>
    <w:p w:rsidR="004939A6" w:rsidRPr="00C75C5C" w:rsidRDefault="004939A6" w:rsidP="004939A6">
      <w:pPr>
        <w:pStyle w:val="ListParagraph"/>
        <w:spacing w:after="0" w:line="240" w:lineRule="auto"/>
        <w:rPr>
          <w:rFonts w:eastAsia="Times New Roman" w:cs="Arial"/>
        </w:rPr>
      </w:pPr>
    </w:p>
    <w:p w:rsidR="004939A6" w:rsidRDefault="004939A6" w:rsidP="004939A6">
      <w:pPr>
        <w:spacing w:after="0" w:line="240" w:lineRule="auto"/>
        <w:rPr>
          <w:rFonts w:eastAsia="Times New Roman" w:cs="Arial"/>
          <w:b/>
          <w:u w:val="single"/>
        </w:rPr>
      </w:pPr>
      <w:r w:rsidRPr="00221B0F">
        <w:rPr>
          <w:rFonts w:eastAsia="Times New Roman" w:cs="Arial"/>
          <w:b/>
          <w:u w:val="single"/>
        </w:rPr>
        <w:t>Intervention:</w:t>
      </w:r>
    </w:p>
    <w:p w:rsidR="00DD1E79" w:rsidRDefault="00F051AD" w:rsidP="00DD1E79">
      <w:pPr>
        <w:pStyle w:val="ListParagraph"/>
        <w:numPr>
          <w:ilvl w:val="0"/>
          <w:numId w:val="12"/>
        </w:numPr>
        <w:spacing w:after="0" w:line="240" w:lineRule="auto"/>
        <w:rPr>
          <w:rFonts w:eastAsia="Times New Roman" w:cs="Arial"/>
        </w:rPr>
      </w:pPr>
      <w:r w:rsidRPr="00F051AD">
        <w:rPr>
          <w:rFonts w:eastAsia="Times New Roman" w:cs="Arial"/>
        </w:rPr>
        <w:t>Control group: dogs with non-septic abdominal effusion, effusion was collected for testing</w:t>
      </w:r>
    </w:p>
    <w:p w:rsidR="00F051AD" w:rsidRDefault="00F051AD" w:rsidP="00DD1E79">
      <w:pPr>
        <w:pStyle w:val="ListParagraph"/>
        <w:numPr>
          <w:ilvl w:val="0"/>
          <w:numId w:val="12"/>
        </w:numPr>
        <w:spacing w:after="0" w:line="240" w:lineRule="auto"/>
        <w:rPr>
          <w:rFonts w:eastAsia="Times New Roman" w:cs="Arial"/>
        </w:rPr>
      </w:pPr>
      <w:r>
        <w:rPr>
          <w:rFonts w:eastAsia="Times New Roman" w:cs="Arial"/>
        </w:rPr>
        <w:t>Septic peritonitis dogs that underwent abdominal surgery and placement of closed-suction abdominal drain (CSAD), effusion was collected on presentation and every day until drain removal</w:t>
      </w:r>
    </w:p>
    <w:p w:rsidR="00F051AD" w:rsidRPr="00F051AD" w:rsidRDefault="00F051AD" w:rsidP="00DD1E79">
      <w:pPr>
        <w:pStyle w:val="ListParagraph"/>
        <w:numPr>
          <w:ilvl w:val="0"/>
          <w:numId w:val="12"/>
        </w:numPr>
        <w:spacing w:after="0" w:line="240" w:lineRule="auto"/>
        <w:rPr>
          <w:rFonts w:eastAsia="Times New Roman" w:cs="Arial"/>
        </w:rPr>
      </w:pPr>
      <w:r>
        <w:rPr>
          <w:rFonts w:eastAsia="Times New Roman" w:cs="Arial"/>
        </w:rPr>
        <w:t>NT-proCNP commercial ELISA kit was used to evaluate effusion and serum</w:t>
      </w:r>
    </w:p>
    <w:p w:rsidR="004939A6" w:rsidRDefault="004939A6" w:rsidP="004939A6">
      <w:pPr>
        <w:spacing w:after="0" w:line="240" w:lineRule="auto"/>
        <w:rPr>
          <w:rFonts w:ascii="Arial" w:eastAsia="Times New Roman" w:hAnsi="Arial" w:cs="Arial"/>
          <w:sz w:val="29"/>
          <w:szCs w:val="29"/>
        </w:rPr>
      </w:pPr>
    </w:p>
    <w:p w:rsidR="004939A6" w:rsidRDefault="004939A6" w:rsidP="004939A6">
      <w:pPr>
        <w:spacing w:after="0" w:line="240" w:lineRule="auto"/>
        <w:rPr>
          <w:rFonts w:eastAsia="Times New Roman" w:cs="Arial"/>
        </w:rPr>
      </w:pPr>
      <w:r>
        <w:rPr>
          <w:rFonts w:eastAsia="Times New Roman" w:cs="Arial"/>
          <w:b/>
          <w:u w:val="single"/>
        </w:rPr>
        <w:t>Results/</w:t>
      </w:r>
      <w:r w:rsidRPr="00765A77">
        <w:rPr>
          <w:rFonts w:eastAsia="Times New Roman" w:cs="Arial"/>
          <w:b/>
          <w:u w:val="single"/>
        </w:rPr>
        <w:t>O</w:t>
      </w:r>
      <w:r>
        <w:rPr>
          <w:rFonts w:eastAsia="Times New Roman" w:cs="Arial"/>
          <w:b/>
          <w:u w:val="single"/>
        </w:rPr>
        <w:t>utcome</w:t>
      </w:r>
      <w:r>
        <w:rPr>
          <w:rFonts w:eastAsia="Times New Roman" w:cs="Arial"/>
        </w:rPr>
        <w:t>:</w:t>
      </w:r>
    </w:p>
    <w:p w:rsidR="00BC05E0" w:rsidRDefault="00BC05E0" w:rsidP="00F051AD">
      <w:pPr>
        <w:pStyle w:val="ListParagraph"/>
        <w:numPr>
          <w:ilvl w:val="0"/>
          <w:numId w:val="13"/>
        </w:numPr>
        <w:spacing w:after="0" w:line="240" w:lineRule="auto"/>
        <w:rPr>
          <w:rFonts w:eastAsia="Times New Roman" w:cs="Arial"/>
        </w:rPr>
      </w:pPr>
      <w:r>
        <w:rPr>
          <w:rFonts w:eastAsia="Times New Roman" w:cs="Arial"/>
        </w:rPr>
        <w:t xml:space="preserve">Septic abdomen dogs had lower </w:t>
      </w:r>
      <w:r w:rsidR="00A14217">
        <w:rPr>
          <w:rFonts w:eastAsia="Times New Roman" w:cs="Arial"/>
        </w:rPr>
        <w:t xml:space="preserve">abdominal </w:t>
      </w:r>
      <w:r>
        <w:rPr>
          <w:rFonts w:eastAsia="Times New Roman" w:cs="Arial"/>
        </w:rPr>
        <w:t>NT-proCNP</w:t>
      </w:r>
      <w:r w:rsidR="00A14217">
        <w:rPr>
          <w:rFonts w:eastAsia="Times New Roman" w:cs="Arial"/>
        </w:rPr>
        <w:t xml:space="preserve"> than serum and control dogs</w:t>
      </w:r>
    </w:p>
    <w:p w:rsidR="00A14217" w:rsidRDefault="00A14217" w:rsidP="00F051AD">
      <w:pPr>
        <w:pStyle w:val="ListParagraph"/>
        <w:numPr>
          <w:ilvl w:val="0"/>
          <w:numId w:val="13"/>
        </w:numPr>
        <w:spacing w:after="0" w:line="240" w:lineRule="auto"/>
        <w:rPr>
          <w:rFonts w:eastAsia="Times New Roman" w:cs="Arial"/>
        </w:rPr>
      </w:pPr>
      <w:r>
        <w:rPr>
          <w:rFonts w:eastAsia="Times New Roman" w:cs="Arial"/>
        </w:rPr>
        <w:t xml:space="preserve">Previous </w:t>
      </w:r>
      <w:r w:rsidR="006254EF">
        <w:rPr>
          <w:rFonts w:eastAsia="Times New Roman" w:cs="Arial"/>
        </w:rPr>
        <w:t>abdominal sx (66%</w:t>
      </w:r>
      <w:r>
        <w:rPr>
          <w:rFonts w:eastAsia="Times New Roman" w:cs="Arial"/>
        </w:rPr>
        <w:t>), antibiotics on board</w:t>
      </w:r>
      <w:r w:rsidR="006254EF">
        <w:rPr>
          <w:rFonts w:eastAsia="Times New Roman" w:cs="Arial"/>
        </w:rPr>
        <w:t xml:space="preserve"> </w:t>
      </w:r>
      <w:r>
        <w:rPr>
          <w:rFonts w:eastAsia="Times New Roman" w:cs="Arial"/>
        </w:rPr>
        <w:t>(83%)</w:t>
      </w:r>
      <w:r w:rsidR="006254EF">
        <w:rPr>
          <w:rFonts w:eastAsia="Times New Roman" w:cs="Arial"/>
        </w:rPr>
        <w:t xml:space="preserve"> may affect</w:t>
      </w:r>
      <w:r>
        <w:rPr>
          <w:rFonts w:eastAsia="Times New Roman" w:cs="Arial"/>
        </w:rPr>
        <w:t xml:space="preserve"> these values</w:t>
      </w:r>
    </w:p>
    <w:p w:rsidR="00A14217" w:rsidRPr="00F051AD" w:rsidRDefault="00A14217" w:rsidP="00F051AD">
      <w:pPr>
        <w:pStyle w:val="ListParagraph"/>
        <w:numPr>
          <w:ilvl w:val="0"/>
          <w:numId w:val="13"/>
        </w:numPr>
        <w:spacing w:after="0" w:line="240" w:lineRule="auto"/>
        <w:rPr>
          <w:rFonts w:eastAsia="Times New Roman" w:cs="Arial"/>
        </w:rPr>
      </w:pPr>
      <w:r>
        <w:rPr>
          <w:rFonts w:eastAsia="Times New Roman" w:cs="Arial"/>
        </w:rPr>
        <w:t xml:space="preserve">Lower effusion rates had </w:t>
      </w:r>
      <w:r w:rsidR="006254EF">
        <w:rPr>
          <w:rFonts w:eastAsia="Times New Roman" w:cs="Arial"/>
        </w:rPr>
        <w:t>↑</w:t>
      </w:r>
      <w:r>
        <w:rPr>
          <w:rFonts w:eastAsia="Times New Roman" w:cs="Arial"/>
        </w:rPr>
        <w:t xml:space="preserve"> NT-proCNP, as day progressed these values increased, dilutional effect?</w:t>
      </w:r>
    </w:p>
    <w:p w:rsidR="004939A6" w:rsidRPr="00765A77" w:rsidRDefault="004939A6" w:rsidP="004939A6">
      <w:pPr>
        <w:spacing w:after="0" w:line="240" w:lineRule="auto"/>
        <w:rPr>
          <w:rFonts w:eastAsia="Times New Roman" w:cs="Arial"/>
        </w:rPr>
      </w:pPr>
    </w:p>
    <w:p w:rsidR="003239B6" w:rsidRDefault="004939A6" w:rsidP="00EF7985">
      <w:pPr>
        <w:spacing w:after="0" w:line="240" w:lineRule="auto"/>
        <w:rPr>
          <w:rFonts w:eastAsia="Times New Roman" w:cs="Arial"/>
          <w:b/>
          <w:u w:val="single"/>
        </w:rPr>
      </w:pPr>
      <w:r w:rsidRPr="00765A77">
        <w:rPr>
          <w:rFonts w:eastAsia="Times New Roman" w:cs="Arial"/>
          <w:b/>
          <w:u w:val="single"/>
        </w:rPr>
        <w:t>Take Home Message</w:t>
      </w:r>
      <w:r>
        <w:rPr>
          <w:rFonts w:eastAsia="Times New Roman" w:cs="Arial"/>
          <w:b/>
          <w:u w:val="single"/>
        </w:rPr>
        <w:t>:</w:t>
      </w:r>
    </w:p>
    <w:p w:rsidR="00EF7985" w:rsidRPr="00EF7985" w:rsidRDefault="00EF7985" w:rsidP="00EF7985">
      <w:pPr>
        <w:spacing w:after="0" w:line="240" w:lineRule="auto"/>
        <w:rPr>
          <w:rFonts w:eastAsia="Times New Roman" w:cs="Arial"/>
          <w:b/>
          <w:u w:val="single"/>
        </w:rPr>
      </w:pPr>
    </w:p>
    <w:p w:rsidR="00A14217" w:rsidRDefault="00A14217" w:rsidP="00A14217">
      <w:pPr>
        <w:pStyle w:val="ListParagraph"/>
        <w:numPr>
          <w:ilvl w:val="0"/>
          <w:numId w:val="14"/>
        </w:numPr>
      </w:pPr>
      <w:r>
        <w:t>NT-proCNP can be measured on abdominal effusion, more studies are needed to know the importance of these values</w:t>
      </w:r>
      <w:r w:rsidR="006254EF">
        <w:t xml:space="preserve"> in potential sepsis, cardiac and liver disease</w:t>
      </w:r>
    </w:p>
    <w:p w:rsidR="006254EF" w:rsidRDefault="006254EF" w:rsidP="00A14217">
      <w:pPr>
        <w:pStyle w:val="ListParagraph"/>
        <w:numPr>
          <w:ilvl w:val="0"/>
          <w:numId w:val="14"/>
        </w:numPr>
      </w:pPr>
      <w:r>
        <w:t>Abdominal compartmentalization was not identified</w:t>
      </w:r>
    </w:p>
    <w:p w:rsidR="003239B6" w:rsidRDefault="00EF7985">
      <w:r>
        <w:lastRenderedPageBreak/>
        <w:t>Amino-terminal Pro-C-type Natriuretic Peptide (NT-proCNP) is a stable product of the cleavage of C-type natriuretic peptide (CNP), which is a biomarker for sepsis.</w:t>
      </w:r>
    </w:p>
    <w:p w:rsidR="00EF7985" w:rsidRDefault="00EF7985" w:rsidP="00EF7985">
      <w:pPr>
        <w:pStyle w:val="ListParagraph"/>
        <w:numPr>
          <w:ilvl w:val="0"/>
          <w:numId w:val="12"/>
        </w:numPr>
      </w:pPr>
      <w:r>
        <w:t>NT-proCNP participates in vascular homeostasis, modulates inflammation in vascular walls</w:t>
      </w:r>
    </w:p>
    <w:p w:rsidR="00EF7985" w:rsidRDefault="00EF7985" w:rsidP="00EF7985">
      <w:pPr>
        <w:pStyle w:val="ListParagraph"/>
        <w:numPr>
          <w:ilvl w:val="0"/>
          <w:numId w:val="12"/>
        </w:numPr>
      </w:pPr>
      <w:r>
        <w:t>Secretion is enhanced by LPS, pro-inflammatory cytokines (TNFα, IL-1β)</w:t>
      </w:r>
    </w:p>
    <w:p w:rsidR="00EF7985" w:rsidRDefault="00EF7985" w:rsidP="00EF7985">
      <w:pPr>
        <w:pStyle w:val="ListParagraph"/>
        <w:numPr>
          <w:ilvl w:val="0"/>
          <w:numId w:val="12"/>
        </w:numPr>
      </w:pPr>
      <w:r>
        <w:t>May be useful to predict sepsis in trauma and critically ill patient</w:t>
      </w:r>
    </w:p>
    <w:p w:rsidR="00EF7985" w:rsidRDefault="00EF7985" w:rsidP="00EF7985">
      <w:pPr>
        <w:pStyle w:val="ListParagraph"/>
        <w:numPr>
          <w:ilvl w:val="0"/>
          <w:numId w:val="12"/>
        </w:numPr>
      </w:pPr>
      <w:r>
        <w:t xml:space="preserve">NT-proCNP cutoff of 10.1 pmol/L to differentiate dogs with </w:t>
      </w:r>
      <w:r w:rsidR="005B4DF9">
        <w:t>heterogeneous</w:t>
      </w:r>
      <w:r>
        <w:t xml:space="preserve"> sources of sepsis with noninfectious SIRS </w:t>
      </w:r>
      <w:r w:rsidR="005B4DF9">
        <w:t xml:space="preserve">(NSIRS), </w:t>
      </w:r>
      <w:r>
        <w:t>sensitivity</w:t>
      </w:r>
      <w:r w:rsidR="005B4DF9">
        <w:t xml:space="preserve"> 65%, specificity 89%</w:t>
      </w:r>
    </w:p>
    <w:p w:rsidR="005B4DF9" w:rsidRDefault="005B4DF9" w:rsidP="00EF7985">
      <w:pPr>
        <w:pStyle w:val="ListParagraph"/>
        <w:numPr>
          <w:ilvl w:val="0"/>
          <w:numId w:val="12"/>
        </w:numPr>
      </w:pPr>
      <w:r>
        <w:t>Dogs with septic peritonitis had low serum NT-proCNP compared to NSIRS or healthy dogs, this may be due to NT-proCNP being concentrated in the abdominal effusion rather than in the blood stream – “Compartmentalization”</w:t>
      </w:r>
    </w:p>
    <w:p w:rsidR="006254EF" w:rsidRDefault="006254EF" w:rsidP="00EF7985">
      <w:pPr>
        <w:pStyle w:val="ListParagraph"/>
        <w:numPr>
          <w:ilvl w:val="0"/>
          <w:numId w:val="12"/>
        </w:numPr>
      </w:pPr>
      <w:r>
        <w:t>Cardiac and Liver disease  has shown to have higher serum NT-proCNP, in this study the controls which had higher values had cardiac disease, liver tumor and portosystemic shunt</w:t>
      </w:r>
    </w:p>
    <w:p w:rsidR="005B4DF9" w:rsidRDefault="005B4DF9" w:rsidP="005B4DF9">
      <w:pPr>
        <w:ind w:left="360"/>
      </w:pPr>
    </w:p>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p w:rsidR="003239B6" w:rsidRDefault="003239B6"/>
    <w:sectPr w:rsidR="003239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24164"/>
    <w:multiLevelType w:val="hybridMultilevel"/>
    <w:tmpl w:val="C4C2EEA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22413FAB"/>
    <w:multiLevelType w:val="hybridMultilevel"/>
    <w:tmpl w:val="A8CE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E79C7"/>
    <w:multiLevelType w:val="hybridMultilevel"/>
    <w:tmpl w:val="27E6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F6A17"/>
    <w:multiLevelType w:val="hybridMultilevel"/>
    <w:tmpl w:val="89DA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E4412"/>
    <w:multiLevelType w:val="hybridMultilevel"/>
    <w:tmpl w:val="4886C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70157"/>
    <w:multiLevelType w:val="hybridMultilevel"/>
    <w:tmpl w:val="12A8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232F9"/>
    <w:multiLevelType w:val="hybridMultilevel"/>
    <w:tmpl w:val="215E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C1A09"/>
    <w:multiLevelType w:val="hybridMultilevel"/>
    <w:tmpl w:val="6D8E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4082C"/>
    <w:multiLevelType w:val="hybridMultilevel"/>
    <w:tmpl w:val="57EA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996AE8"/>
    <w:multiLevelType w:val="hybridMultilevel"/>
    <w:tmpl w:val="4582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F6477A"/>
    <w:multiLevelType w:val="hybridMultilevel"/>
    <w:tmpl w:val="A296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366E4B"/>
    <w:multiLevelType w:val="hybridMultilevel"/>
    <w:tmpl w:val="B992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73657"/>
    <w:multiLevelType w:val="hybridMultilevel"/>
    <w:tmpl w:val="FEBC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D94957"/>
    <w:multiLevelType w:val="hybridMultilevel"/>
    <w:tmpl w:val="80DC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8"/>
  </w:num>
  <w:num w:numId="5">
    <w:abstractNumId w:val="11"/>
  </w:num>
  <w:num w:numId="6">
    <w:abstractNumId w:val="6"/>
  </w:num>
  <w:num w:numId="7">
    <w:abstractNumId w:val="12"/>
  </w:num>
  <w:num w:numId="8">
    <w:abstractNumId w:val="4"/>
  </w:num>
  <w:num w:numId="9">
    <w:abstractNumId w:val="10"/>
  </w:num>
  <w:num w:numId="10">
    <w:abstractNumId w:val="13"/>
  </w:num>
  <w:num w:numId="11">
    <w:abstractNumId w:val="1"/>
  </w:num>
  <w:num w:numId="12">
    <w:abstractNumId w:val="7"/>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9B6"/>
    <w:rsid w:val="00002782"/>
    <w:rsid w:val="00090788"/>
    <w:rsid w:val="00221B0F"/>
    <w:rsid w:val="00255E3F"/>
    <w:rsid w:val="003107EA"/>
    <w:rsid w:val="003239B6"/>
    <w:rsid w:val="00484B5E"/>
    <w:rsid w:val="004939A6"/>
    <w:rsid w:val="005B4DF9"/>
    <w:rsid w:val="005C4932"/>
    <w:rsid w:val="006254EF"/>
    <w:rsid w:val="0063654C"/>
    <w:rsid w:val="0070150D"/>
    <w:rsid w:val="00765A77"/>
    <w:rsid w:val="0078780A"/>
    <w:rsid w:val="00800E75"/>
    <w:rsid w:val="008C2210"/>
    <w:rsid w:val="008D7EEB"/>
    <w:rsid w:val="00A14217"/>
    <w:rsid w:val="00A71E40"/>
    <w:rsid w:val="00B914E5"/>
    <w:rsid w:val="00BC05E0"/>
    <w:rsid w:val="00BD3A66"/>
    <w:rsid w:val="00C065E7"/>
    <w:rsid w:val="00C56867"/>
    <w:rsid w:val="00C6443B"/>
    <w:rsid w:val="00C75C5C"/>
    <w:rsid w:val="00C83AE8"/>
    <w:rsid w:val="00C9196F"/>
    <w:rsid w:val="00CD3E6D"/>
    <w:rsid w:val="00D35034"/>
    <w:rsid w:val="00DD1E79"/>
    <w:rsid w:val="00E31A6D"/>
    <w:rsid w:val="00E657AD"/>
    <w:rsid w:val="00EF7985"/>
    <w:rsid w:val="00F051AD"/>
    <w:rsid w:val="00F53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5B282F-790D-43F3-89BE-0B768518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3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9B6"/>
    <w:rPr>
      <w:rFonts w:ascii="Tahoma" w:hAnsi="Tahoma" w:cs="Tahoma"/>
      <w:sz w:val="16"/>
      <w:szCs w:val="16"/>
    </w:rPr>
  </w:style>
  <w:style w:type="character" w:styleId="Hyperlink">
    <w:name w:val="Hyperlink"/>
    <w:basedOn w:val="DefaultParagraphFont"/>
    <w:uiPriority w:val="99"/>
    <w:semiHidden/>
    <w:unhideWhenUsed/>
    <w:rsid w:val="00D35034"/>
    <w:rPr>
      <w:color w:val="0000FF"/>
      <w:u w:val="single"/>
    </w:rPr>
  </w:style>
  <w:style w:type="paragraph" w:styleId="ListParagraph">
    <w:name w:val="List Paragraph"/>
    <w:basedOn w:val="Normal"/>
    <w:uiPriority w:val="34"/>
    <w:qFormat/>
    <w:rsid w:val="00D35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229397">
      <w:bodyDiv w:val="1"/>
      <w:marLeft w:val="0"/>
      <w:marRight w:val="0"/>
      <w:marTop w:val="0"/>
      <w:marBottom w:val="0"/>
      <w:divBdr>
        <w:top w:val="none" w:sz="0" w:space="0" w:color="auto"/>
        <w:left w:val="none" w:sz="0" w:space="0" w:color="auto"/>
        <w:bottom w:val="none" w:sz="0" w:space="0" w:color="auto"/>
        <w:right w:val="none" w:sz="0" w:space="0" w:color="auto"/>
      </w:divBdr>
      <w:divsChild>
        <w:div w:id="651371375">
          <w:marLeft w:val="0"/>
          <w:marRight w:val="0"/>
          <w:marTop w:val="0"/>
          <w:marBottom w:val="0"/>
          <w:divBdr>
            <w:top w:val="none" w:sz="0" w:space="0" w:color="auto"/>
            <w:left w:val="none" w:sz="0" w:space="0" w:color="auto"/>
            <w:bottom w:val="none" w:sz="0" w:space="0" w:color="auto"/>
            <w:right w:val="none" w:sz="0" w:space="0" w:color="auto"/>
          </w:divBdr>
        </w:div>
        <w:div w:id="1877158671">
          <w:marLeft w:val="0"/>
          <w:marRight w:val="0"/>
          <w:marTop w:val="0"/>
          <w:marBottom w:val="0"/>
          <w:divBdr>
            <w:top w:val="none" w:sz="0" w:space="0" w:color="auto"/>
            <w:left w:val="none" w:sz="0" w:space="0" w:color="auto"/>
            <w:bottom w:val="none" w:sz="0" w:space="0" w:color="auto"/>
            <w:right w:val="none" w:sz="0" w:space="0" w:color="auto"/>
          </w:divBdr>
        </w:div>
        <w:div w:id="1628197303">
          <w:marLeft w:val="0"/>
          <w:marRight w:val="0"/>
          <w:marTop w:val="0"/>
          <w:marBottom w:val="0"/>
          <w:divBdr>
            <w:top w:val="none" w:sz="0" w:space="0" w:color="auto"/>
            <w:left w:val="none" w:sz="0" w:space="0" w:color="auto"/>
            <w:bottom w:val="none" w:sz="0" w:space="0" w:color="auto"/>
            <w:right w:val="none" w:sz="0" w:space="0" w:color="auto"/>
          </w:divBdr>
        </w:div>
        <w:div w:id="1990555648">
          <w:marLeft w:val="0"/>
          <w:marRight w:val="0"/>
          <w:marTop w:val="0"/>
          <w:marBottom w:val="0"/>
          <w:divBdr>
            <w:top w:val="none" w:sz="0" w:space="0" w:color="auto"/>
            <w:left w:val="none" w:sz="0" w:space="0" w:color="auto"/>
            <w:bottom w:val="none" w:sz="0" w:space="0" w:color="auto"/>
            <w:right w:val="none" w:sz="0" w:space="0" w:color="auto"/>
          </w:divBdr>
        </w:div>
        <w:div w:id="1013918527">
          <w:marLeft w:val="0"/>
          <w:marRight w:val="0"/>
          <w:marTop w:val="0"/>
          <w:marBottom w:val="0"/>
          <w:divBdr>
            <w:top w:val="none" w:sz="0" w:space="0" w:color="auto"/>
            <w:left w:val="none" w:sz="0" w:space="0" w:color="auto"/>
            <w:bottom w:val="none" w:sz="0" w:space="0" w:color="auto"/>
            <w:right w:val="none" w:sz="0" w:space="0" w:color="auto"/>
          </w:divBdr>
        </w:div>
        <w:div w:id="880283864">
          <w:marLeft w:val="0"/>
          <w:marRight w:val="0"/>
          <w:marTop w:val="0"/>
          <w:marBottom w:val="0"/>
          <w:divBdr>
            <w:top w:val="none" w:sz="0" w:space="0" w:color="auto"/>
            <w:left w:val="none" w:sz="0" w:space="0" w:color="auto"/>
            <w:bottom w:val="none" w:sz="0" w:space="0" w:color="auto"/>
            <w:right w:val="none" w:sz="0" w:space="0" w:color="auto"/>
          </w:divBdr>
        </w:div>
        <w:div w:id="789712753">
          <w:marLeft w:val="0"/>
          <w:marRight w:val="0"/>
          <w:marTop w:val="0"/>
          <w:marBottom w:val="0"/>
          <w:divBdr>
            <w:top w:val="none" w:sz="0" w:space="0" w:color="auto"/>
            <w:left w:val="none" w:sz="0" w:space="0" w:color="auto"/>
            <w:bottom w:val="none" w:sz="0" w:space="0" w:color="auto"/>
            <w:right w:val="none" w:sz="0" w:space="0" w:color="auto"/>
          </w:divBdr>
        </w:div>
        <w:div w:id="12003485">
          <w:marLeft w:val="0"/>
          <w:marRight w:val="0"/>
          <w:marTop w:val="0"/>
          <w:marBottom w:val="0"/>
          <w:divBdr>
            <w:top w:val="none" w:sz="0" w:space="0" w:color="auto"/>
            <w:left w:val="none" w:sz="0" w:space="0" w:color="auto"/>
            <w:bottom w:val="none" w:sz="0" w:space="0" w:color="auto"/>
            <w:right w:val="none" w:sz="0" w:space="0" w:color="auto"/>
          </w:divBdr>
        </w:div>
      </w:divsChild>
    </w:div>
    <w:div w:id="1389574209">
      <w:bodyDiv w:val="1"/>
      <w:marLeft w:val="0"/>
      <w:marRight w:val="0"/>
      <w:marTop w:val="0"/>
      <w:marBottom w:val="0"/>
      <w:divBdr>
        <w:top w:val="none" w:sz="0" w:space="0" w:color="auto"/>
        <w:left w:val="none" w:sz="0" w:space="0" w:color="auto"/>
        <w:bottom w:val="none" w:sz="0" w:space="0" w:color="auto"/>
        <w:right w:val="none" w:sz="0" w:space="0" w:color="auto"/>
      </w:divBdr>
      <w:divsChild>
        <w:div w:id="838619667">
          <w:marLeft w:val="0"/>
          <w:marRight w:val="0"/>
          <w:marTop w:val="0"/>
          <w:marBottom w:val="0"/>
          <w:divBdr>
            <w:top w:val="none" w:sz="0" w:space="0" w:color="auto"/>
            <w:left w:val="none" w:sz="0" w:space="0" w:color="auto"/>
            <w:bottom w:val="none" w:sz="0" w:space="0" w:color="auto"/>
            <w:right w:val="none" w:sz="0" w:space="0" w:color="auto"/>
          </w:divBdr>
          <w:divsChild>
            <w:div w:id="1140003071">
              <w:marLeft w:val="0"/>
              <w:marRight w:val="0"/>
              <w:marTop w:val="0"/>
              <w:marBottom w:val="0"/>
              <w:divBdr>
                <w:top w:val="none" w:sz="0" w:space="0" w:color="auto"/>
                <w:left w:val="none" w:sz="0" w:space="0" w:color="auto"/>
                <w:bottom w:val="none" w:sz="0" w:space="0" w:color="auto"/>
                <w:right w:val="none" w:sz="0" w:space="0" w:color="auto"/>
              </w:divBdr>
            </w:div>
            <w:div w:id="480776355">
              <w:marLeft w:val="0"/>
              <w:marRight w:val="0"/>
              <w:marTop w:val="0"/>
              <w:marBottom w:val="0"/>
              <w:divBdr>
                <w:top w:val="none" w:sz="0" w:space="0" w:color="auto"/>
                <w:left w:val="none" w:sz="0" w:space="0" w:color="auto"/>
                <w:bottom w:val="none" w:sz="0" w:space="0" w:color="auto"/>
                <w:right w:val="none" w:sz="0" w:space="0" w:color="auto"/>
              </w:divBdr>
            </w:div>
            <w:div w:id="1181696999">
              <w:marLeft w:val="0"/>
              <w:marRight w:val="0"/>
              <w:marTop w:val="0"/>
              <w:marBottom w:val="0"/>
              <w:divBdr>
                <w:top w:val="none" w:sz="0" w:space="0" w:color="auto"/>
                <w:left w:val="none" w:sz="0" w:space="0" w:color="auto"/>
                <w:bottom w:val="none" w:sz="0" w:space="0" w:color="auto"/>
                <w:right w:val="none" w:sz="0" w:space="0" w:color="auto"/>
              </w:divBdr>
            </w:div>
            <w:div w:id="21276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frm=1&amp;source=images&amp;cd=&amp;cad=rja&amp;uact=8&amp;ved=0CAcQjRxqFQoTCLvrkKXuwMgCFQYmHgodUe4BQQ&amp;url=http://www.revcolanest.com.co/en/thromboelastography-new-concepts-in-haemostasis/articulo/90149965/&amp;bvm=bv.104819420,d.dmo&amp;psig=AFQjCNHC4u0UjP_tHbVSrcnm1SWr_1KlAA&amp;ust=1444874246178660"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4324-8680-421E-AC8C-E205A92D3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A Pardo</dc:creator>
  <cp:lastModifiedBy>VM-Cah-icu-user</cp:lastModifiedBy>
  <cp:revision>2</cp:revision>
  <dcterms:created xsi:type="dcterms:W3CDTF">2015-10-14T06:37:00Z</dcterms:created>
  <dcterms:modified xsi:type="dcterms:W3CDTF">2015-10-14T06:37:00Z</dcterms:modified>
</cp:coreProperties>
</file>