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background w:color="FFFFFF"/>
  <w:body>
    <w:p w:rsidR="00000000" w:rsidDel="00000000" w:rsidP="00000000" w:rsidRDefault="00000000" w:rsidRPr="00000000">
      <w:pPr>
        <w:contextualSpacing w:val="0"/>
      </w:pPr>
      <w:r w:rsidDel="00000000" w:rsidR="00000000" w:rsidRPr="00000000">
        <w:drawing>
          <wp:inline distB="114300" distT="114300" distL="114300" distR="114300">
            <wp:extent cx="5596680" cy="4919663"/>
            <wp:effectExtent b="0" l="0" r="0" t="0"/>
            <wp:docPr id="1" name="image01.png"/>
            <a:graphic>
              <a:graphicData uri="http://schemas.openxmlformats.org/drawingml/2006/picture">
                <pic:pic>
                  <pic:nvPicPr>
                    <pic:cNvPr id="0" name="image01.png"/>
                    <pic:cNvPicPr preferRelativeResize="0"/>
                  </pic:nvPicPr>
                  <pic:blipFill>
                    <a:blip r:embed="rId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596680" cy="491966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numPr>
          <w:ilvl w:val="0"/>
          <w:numId w:val="1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100% Sensitivity and Specificity for diagnosing septic abdomen via glucose uses laboratory BG analyzers, NOT POC tests</w:t>
      </w:r>
    </w:p>
    <w:p w:rsidR="00000000" w:rsidDel="00000000" w:rsidP="00000000" w:rsidRDefault="00000000" w:rsidRPr="00000000">
      <w:pPr>
        <w:numPr>
          <w:ilvl w:val="0"/>
          <w:numId w:val="1"/>
        </w:numPr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When POC test is used, 100% specificity remains, but sensitivity drops to 41.2%</w:t>
      </w:r>
    </w:p>
    <w:p w:rsidR="00000000" w:rsidDel="00000000" w:rsidP="00000000" w:rsidRDefault="00000000" w:rsidRPr="00000000">
      <w:pPr>
        <w:numPr>
          <w:ilvl w:val="0"/>
          <w:numId w:val="1"/>
        </w:numPr>
        <w:ind w:left="720" w:hanging="360"/>
        <w:contextualSpacing w:val="1"/>
        <w:rPr>
          <w:b w:val="1"/>
        </w:rPr>
      </w:pPr>
      <w:r w:rsidDel="00000000" w:rsidR="00000000" w:rsidRPr="00000000">
        <w:rPr>
          <w:b w:val="1"/>
          <w:rtl w:val="0"/>
        </w:rPr>
        <w:t xml:space="preserve">Using plasma instead of whole blood and 38mg/dL difference improves sensitivity, specificity, PPV, and NPV</w:t>
      </w:r>
    </w:p>
    <w:p w:rsidR="00000000" w:rsidDel="00000000" w:rsidP="00000000" w:rsidRDefault="00000000" w:rsidRPr="00000000">
      <w:pPr>
        <w:numPr>
          <w:ilvl w:val="1"/>
          <w:numId w:val="1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This due to the fact that cells in whole blood interfere with POC analyzers</w:t>
      </w:r>
    </w:p>
    <w:sectPr>
      <w:pgSz w:h="15840" w:w="12240"/>
      <w:pgMar w:bottom="1440" w:top="1440" w:left="1440" w:right="144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abstractNum w:abstractNumId="1"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ocDefaults>
    <w:rPrDefault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rPrDefault>
    <w:pPrDefault>
      <w:pPr>
        <w:keepNext w:val="0"/>
        <w:keepLines w:val="0"/>
        <w:widowControl w:val="1"/>
        <w:spacing w:after="0" w:before="0" w:line="276" w:lineRule="auto"/>
        <w:ind w:left="0" w:right="0" w:firstLine="0"/>
        <w:jc w:val="left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  <w:contextualSpacing w:val="1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  <w:contextualSpacing w:val="1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  <w:contextualSpacing w:val="1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  <w:contextualSpacing w:val="1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  <w:contextualSpacing w:val="1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  <w:contextualSpacing w:val="1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  <w:contextualSpacing w:val="1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  <w:contextualSpacing w:val="1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numbering" Target="numbering.xml"/><Relationship Id="rId4" Type="http://schemas.openxmlformats.org/officeDocument/2006/relationships/styles" Target="styles.xml"/><Relationship Id="rId5" Type="http://schemas.openxmlformats.org/officeDocument/2006/relationships/image" Target="media/image01.png"/></Relationships>
</file>