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B5A" w:rsidRDefault="004F264F" w:rsidP="004F264F">
      <w:pPr>
        <w:jc w:val="center"/>
      </w:pPr>
      <w:r>
        <w:rPr>
          <w:noProof/>
        </w:rPr>
        <w:drawing>
          <wp:inline distT="0" distB="0" distL="0" distR="0" wp14:anchorId="10E4761D" wp14:editId="71A4B9D4">
            <wp:extent cx="5429250" cy="4890385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29894" cy="4890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0AC5" w:rsidRPr="0017390A" w:rsidRDefault="004F264F" w:rsidP="00D1687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Garamond-Book"/>
          <w:sz w:val="24"/>
          <w:szCs w:val="24"/>
        </w:rPr>
      </w:pPr>
      <w:r w:rsidRPr="0017390A">
        <w:rPr>
          <w:rFonts w:cs="GillSans-Bold"/>
          <w:bCs/>
          <w:sz w:val="24"/>
          <w:szCs w:val="24"/>
        </w:rPr>
        <w:t>B</w:t>
      </w:r>
      <w:r w:rsidRPr="0017390A">
        <w:rPr>
          <w:rFonts w:cs="Garamond-Book"/>
          <w:sz w:val="24"/>
          <w:szCs w:val="24"/>
        </w:rPr>
        <w:t>lack walnut trees (</w:t>
      </w:r>
      <w:proofErr w:type="spellStart"/>
      <w:r w:rsidRPr="0017390A">
        <w:rPr>
          <w:rFonts w:cs="Garamond-BookItalic"/>
          <w:i/>
          <w:iCs/>
          <w:sz w:val="24"/>
          <w:szCs w:val="24"/>
        </w:rPr>
        <w:t>Juglans</w:t>
      </w:r>
      <w:proofErr w:type="spellEnd"/>
      <w:r w:rsidRPr="0017390A">
        <w:rPr>
          <w:rFonts w:cs="Garamond-BookItalic"/>
          <w:i/>
          <w:iCs/>
          <w:sz w:val="24"/>
          <w:szCs w:val="24"/>
        </w:rPr>
        <w:t xml:space="preserve"> </w:t>
      </w:r>
      <w:proofErr w:type="spellStart"/>
      <w:r w:rsidRPr="0017390A">
        <w:rPr>
          <w:rFonts w:cs="Garamond-BookItalic"/>
          <w:i/>
          <w:iCs/>
          <w:sz w:val="24"/>
          <w:szCs w:val="24"/>
        </w:rPr>
        <w:t>nigra</w:t>
      </w:r>
      <w:proofErr w:type="spellEnd"/>
      <w:r w:rsidRPr="0017390A">
        <w:rPr>
          <w:rFonts w:cs="Garamond-Book"/>
          <w:sz w:val="24"/>
          <w:szCs w:val="24"/>
        </w:rPr>
        <w:t>) are commonly found</w:t>
      </w:r>
      <w:r w:rsidRPr="0017390A">
        <w:rPr>
          <w:rFonts w:cs="Garamond-Book"/>
          <w:sz w:val="24"/>
          <w:szCs w:val="24"/>
        </w:rPr>
        <w:t xml:space="preserve"> throughout eastern</w:t>
      </w:r>
      <w:r w:rsidRPr="0017390A">
        <w:rPr>
          <w:rFonts w:cs="Garamond-Book"/>
          <w:sz w:val="24"/>
          <w:szCs w:val="24"/>
        </w:rPr>
        <w:t xml:space="preserve"> </w:t>
      </w:r>
      <w:r w:rsidRPr="0017390A">
        <w:rPr>
          <w:rFonts w:cs="Garamond-Book"/>
          <w:sz w:val="24"/>
          <w:szCs w:val="24"/>
        </w:rPr>
        <w:t>North America</w:t>
      </w:r>
      <w:r w:rsidRPr="0017390A">
        <w:rPr>
          <w:rFonts w:cs="Garamond-Book"/>
          <w:sz w:val="24"/>
          <w:szCs w:val="24"/>
        </w:rPr>
        <w:t>.</w:t>
      </w:r>
    </w:p>
    <w:p w:rsidR="00A00AC5" w:rsidRPr="0017390A" w:rsidRDefault="00A00AC5" w:rsidP="00D1687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Garamond-Book"/>
          <w:sz w:val="24"/>
          <w:szCs w:val="24"/>
        </w:rPr>
      </w:pPr>
      <w:r w:rsidRPr="0017390A">
        <w:rPr>
          <w:rFonts w:cs="Garamond-Book"/>
          <w:sz w:val="24"/>
          <w:szCs w:val="24"/>
        </w:rPr>
        <w:t xml:space="preserve">November 2001 - December </w:t>
      </w:r>
      <w:r w:rsidR="004F264F" w:rsidRPr="0017390A">
        <w:rPr>
          <w:rFonts w:cs="Garamond-Book"/>
          <w:sz w:val="24"/>
          <w:szCs w:val="24"/>
        </w:rPr>
        <w:t xml:space="preserve"> 2012</w:t>
      </w:r>
      <w:r w:rsidRPr="0017390A">
        <w:rPr>
          <w:rFonts w:cs="Garamond-Book"/>
          <w:sz w:val="24"/>
          <w:szCs w:val="24"/>
        </w:rPr>
        <w:t xml:space="preserve">, </w:t>
      </w:r>
      <w:r w:rsidRPr="0017390A">
        <w:rPr>
          <w:rFonts w:cs="Garamond-Book"/>
          <w:sz w:val="24"/>
          <w:szCs w:val="24"/>
        </w:rPr>
        <w:t>93 dogs</w:t>
      </w:r>
      <w:r w:rsidRPr="0017390A">
        <w:rPr>
          <w:rFonts w:cs="Garamond-Book"/>
          <w:sz w:val="24"/>
          <w:szCs w:val="24"/>
        </w:rPr>
        <w:t xml:space="preserve">, 28 (30%) dogs </w:t>
      </w:r>
      <w:r w:rsidRPr="0017390A">
        <w:rPr>
          <w:rFonts w:cs="Garamond-Book"/>
          <w:sz w:val="24"/>
          <w:szCs w:val="24"/>
        </w:rPr>
        <w:t>ingested</w:t>
      </w:r>
      <w:r w:rsidRPr="0017390A">
        <w:rPr>
          <w:rFonts w:cs="Garamond-Book"/>
          <w:sz w:val="24"/>
          <w:szCs w:val="24"/>
        </w:rPr>
        <w:t xml:space="preserve"> </w:t>
      </w:r>
      <w:r w:rsidRPr="0017390A">
        <w:rPr>
          <w:rFonts w:cs="Garamond-Book"/>
          <w:sz w:val="24"/>
          <w:szCs w:val="24"/>
        </w:rPr>
        <w:t>black walnut wood or wood shavings, and 65 (70%) ingested the walnuts or</w:t>
      </w:r>
      <w:r w:rsidR="00D1687D" w:rsidRPr="0017390A">
        <w:rPr>
          <w:rFonts w:cs="Garamond-Book"/>
          <w:sz w:val="24"/>
          <w:szCs w:val="24"/>
        </w:rPr>
        <w:t xml:space="preserve"> hulls.</w:t>
      </w:r>
    </w:p>
    <w:p w:rsidR="00A00AC5" w:rsidRPr="0017390A" w:rsidRDefault="00A00AC5" w:rsidP="00D1687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Garamond-Book"/>
          <w:sz w:val="24"/>
          <w:szCs w:val="24"/>
        </w:rPr>
      </w:pPr>
      <w:r w:rsidRPr="0017390A">
        <w:rPr>
          <w:rFonts w:cs="Garamond-Book"/>
          <w:sz w:val="24"/>
          <w:szCs w:val="24"/>
        </w:rPr>
        <w:t>100% of the dogs showed clinical signs</w:t>
      </w:r>
    </w:p>
    <w:p w:rsidR="00A00AC5" w:rsidRPr="0017390A" w:rsidRDefault="00A00AC5" w:rsidP="00D1687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Garamond-Book"/>
          <w:sz w:val="24"/>
          <w:szCs w:val="24"/>
        </w:rPr>
      </w:pPr>
      <w:r w:rsidRPr="0017390A">
        <w:rPr>
          <w:rFonts w:cs="Garamond-Book"/>
          <w:sz w:val="24"/>
          <w:szCs w:val="24"/>
        </w:rPr>
        <w:t>T</w:t>
      </w:r>
      <w:r w:rsidRPr="0017390A">
        <w:rPr>
          <w:rFonts w:cs="Garamond-Book"/>
          <w:sz w:val="24"/>
          <w:szCs w:val="24"/>
        </w:rPr>
        <w:t>ime to onset of clinical signs ranged from 0.17 to 19</w:t>
      </w:r>
      <w:r w:rsidRPr="0017390A">
        <w:rPr>
          <w:rFonts w:cs="Garamond-Book"/>
          <w:sz w:val="24"/>
          <w:szCs w:val="24"/>
        </w:rPr>
        <w:t xml:space="preserve"> </w:t>
      </w:r>
      <w:r w:rsidRPr="0017390A">
        <w:rPr>
          <w:rFonts w:cs="Garamond-Book"/>
          <w:sz w:val="24"/>
          <w:szCs w:val="24"/>
        </w:rPr>
        <w:t>hours after the exposure was observed</w:t>
      </w:r>
    </w:p>
    <w:p w:rsidR="00A00AC5" w:rsidRPr="0017390A" w:rsidRDefault="00A00AC5" w:rsidP="00D1687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Garamond-Book"/>
          <w:sz w:val="24"/>
          <w:szCs w:val="24"/>
        </w:rPr>
      </w:pPr>
      <w:r w:rsidRPr="0017390A">
        <w:rPr>
          <w:rFonts w:cs="Garamond-Book"/>
          <w:sz w:val="24"/>
          <w:szCs w:val="24"/>
        </w:rPr>
        <w:t>Vomi</w:t>
      </w:r>
      <w:r w:rsidRPr="0017390A">
        <w:rPr>
          <w:rFonts w:cs="Garamond-Book"/>
          <w:sz w:val="24"/>
          <w:szCs w:val="24"/>
        </w:rPr>
        <w:t>ting, if present, &lt;</w:t>
      </w:r>
      <w:r w:rsidRPr="0017390A">
        <w:rPr>
          <w:rFonts w:cs="Garamond-Book"/>
          <w:sz w:val="24"/>
          <w:szCs w:val="24"/>
        </w:rPr>
        <w:t>1 hour after exposure.</w:t>
      </w:r>
    </w:p>
    <w:p w:rsidR="00A00AC5" w:rsidRPr="0017390A" w:rsidRDefault="00A00AC5" w:rsidP="00D1687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Garamond-Book"/>
          <w:sz w:val="24"/>
          <w:szCs w:val="24"/>
        </w:rPr>
      </w:pPr>
      <w:r w:rsidRPr="0017390A">
        <w:rPr>
          <w:rFonts w:cs="Garamond-Book"/>
          <w:sz w:val="24"/>
          <w:szCs w:val="24"/>
        </w:rPr>
        <w:t>N</w:t>
      </w:r>
      <w:r w:rsidRPr="0017390A">
        <w:rPr>
          <w:rFonts w:cs="Garamond-Book"/>
          <w:sz w:val="24"/>
          <w:szCs w:val="24"/>
        </w:rPr>
        <w:t>eurologic or musculoskeletal</w:t>
      </w:r>
      <w:r w:rsidRPr="0017390A">
        <w:rPr>
          <w:rFonts w:cs="Garamond-Book"/>
          <w:sz w:val="24"/>
          <w:szCs w:val="24"/>
        </w:rPr>
        <w:t xml:space="preserve"> </w:t>
      </w:r>
      <w:r w:rsidRPr="0017390A">
        <w:rPr>
          <w:rFonts w:cs="Garamond-Book"/>
          <w:sz w:val="24"/>
          <w:szCs w:val="24"/>
        </w:rPr>
        <w:t xml:space="preserve">signs </w:t>
      </w:r>
      <w:r w:rsidRPr="0017390A">
        <w:rPr>
          <w:rFonts w:cs="Garamond-Book"/>
          <w:sz w:val="24"/>
          <w:szCs w:val="24"/>
        </w:rPr>
        <w:t xml:space="preserve">in </w:t>
      </w:r>
      <w:r w:rsidRPr="0017390A">
        <w:rPr>
          <w:rFonts w:cs="Garamond-Book"/>
          <w:sz w:val="24"/>
          <w:szCs w:val="24"/>
        </w:rPr>
        <w:t>93%</w:t>
      </w:r>
      <w:r w:rsidRPr="0017390A">
        <w:rPr>
          <w:rFonts w:cs="Garamond-Book"/>
          <w:sz w:val="24"/>
          <w:szCs w:val="24"/>
        </w:rPr>
        <w:t>, associated to ingestion of black walnut wood</w:t>
      </w:r>
    </w:p>
    <w:p w:rsidR="00D1687D" w:rsidRPr="0017390A" w:rsidRDefault="00A00AC5" w:rsidP="00D1687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Garamond-Book"/>
          <w:sz w:val="24"/>
          <w:szCs w:val="24"/>
        </w:rPr>
      </w:pPr>
      <w:r w:rsidRPr="0017390A">
        <w:rPr>
          <w:rFonts w:cs="Garamond-Book"/>
          <w:sz w:val="24"/>
          <w:szCs w:val="24"/>
        </w:rPr>
        <w:t>Vomiting was mor</w:t>
      </w:r>
      <w:r w:rsidR="00D1687D" w:rsidRPr="0017390A">
        <w:rPr>
          <w:rFonts w:cs="Garamond-Book"/>
          <w:sz w:val="24"/>
          <w:szCs w:val="24"/>
        </w:rPr>
        <w:t>e associated with black walnuts and walnut hull</w:t>
      </w:r>
    </w:p>
    <w:p w:rsidR="00D1687D" w:rsidRPr="0017390A" w:rsidRDefault="00D1687D" w:rsidP="00D1687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Garamond-Book"/>
          <w:sz w:val="24"/>
          <w:szCs w:val="24"/>
        </w:rPr>
      </w:pPr>
      <w:r w:rsidRPr="0017390A">
        <w:rPr>
          <w:rFonts w:cs="Garamond-Book"/>
          <w:sz w:val="24"/>
          <w:szCs w:val="24"/>
        </w:rPr>
        <w:t>Mechanism of Action: unknown, “</w:t>
      </w:r>
      <w:proofErr w:type="spellStart"/>
      <w:r w:rsidRPr="0017390A">
        <w:rPr>
          <w:rFonts w:cs="Garamond-Book"/>
          <w:sz w:val="24"/>
          <w:szCs w:val="24"/>
        </w:rPr>
        <w:t>Juglone</w:t>
      </w:r>
      <w:proofErr w:type="spellEnd"/>
      <w:r w:rsidRPr="0017390A">
        <w:rPr>
          <w:rFonts w:cs="Garamond-Book"/>
          <w:sz w:val="24"/>
          <w:szCs w:val="24"/>
        </w:rPr>
        <w:t xml:space="preserve">”  extract can produce sedation in fish, rats, rabbit, </w:t>
      </w:r>
      <w:r w:rsidRPr="0017390A">
        <w:rPr>
          <w:rFonts w:cs="Garamond-Book"/>
          <w:sz w:val="24"/>
          <w:szCs w:val="24"/>
        </w:rPr>
        <w:t>also a known substrate for growth</w:t>
      </w:r>
      <w:r w:rsidRPr="0017390A">
        <w:rPr>
          <w:rFonts w:cs="Garamond-Book"/>
          <w:sz w:val="24"/>
          <w:szCs w:val="24"/>
        </w:rPr>
        <w:t xml:space="preserve"> </w:t>
      </w:r>
      <w:r w:rsidRPr="0017390A">
        <w:rPr>
          <w:rFonts w:cs="Garamond-Book"/>
          <w:sz w:val="24"/>
          <w:szCs w:val="24"/>
        </w:rPr>
        <w:t xml:space="preserve">of </w:t>
      </w:r>
      <w:proofErr w:type="spellStart"/>
      <w:r w:rsidRPr="0017390A">
        <w:rPr>
          <w:rFonts w:cs="Garamond-Book"/>
          <w:sz w:val="24"/>
          <w:szCs w:val="24"/>
        </w:rPr>
        <w:t>tremorgenic</w:t>
      </w:r>
      <w:proofErr w:type="spellEnd"/>
      <w:r w:rsidRPr="0017390A">
        <w:rPr>
          <w:rFonts w:cs="Garamond-Book"/>
          <w:sz w:val="24"/>
          <w:szCs w:val="24"/>
        </w:rPr>
        <w:t xml:space="preserve"> mycotoxins</w:t>
      </w:r>
    </w:p>
    <w:p w:rsidR="00D1687D" w:rsidRPr="0017390A" w:rsidRDefault="00D1687D" w:rsidP="00D1687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Garamond-Book"/>
          <w:sz w:val="24"/>
          <w:szCs w:val="24"/>
        </w:rPr>
      </w:pPr>
      <w:r w:rsidRPr="0017390A">
        <w:rPr>
          <w:rFonts w:cs="Garamond-Book"/>
          <w:sz w:val="24"/>
          <w:szCs w:val="24"/>
        </w:rPr>
        <w:t>Good prognosis with or without treatment</w:t>
      </w:r>
    </w:p>
    <w:p w:rsidR="004F264F" w:rsidRDefault="004F264F" w:rsidP="004F264F"/>
    <w:p w:rsidR="004F264F" w:rsidRDefault="004F264F" w:rsidP="004F264F">
      <w:r>
        <w:rPr>
          <w:rFonts w:ascii="Arial" w:hAnsi="Arial" w:cs="Arial"/>
          <w:noProof/>
          <w:color w:val="0000FF"/>
          <w:sz w:val="27"/>
          <w:szCs w:val="27"/>
        </w:rPr>
        <w:lastRenderedPageBreak/>
        <w:drawing>
          <wp:inline distT="0" distB="0" distL="0" distR="0">
            <wp:extent cx="2143125" cy="2143125"/>
            <wp:effectExtent l="0" t="0" r="9525" b="9525"/>
            <wp:docPr id="2" name="Picture 2" descr="Image result for juglans nigra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juglans nigra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7D5418A4" wp14:editId="0F6B7312">
            <wp:extent cx="3683000" cy="2762250"/>
            <wp:effectExtent l="0" t="0" r="0" b="0"/>
            <wp:docPr id="3" name="Picture 3" descr="http://perverdonk.com/wild%20flowers/Trees_and_Shrubs/Walnut%20Tree/200209150220%20Black%20Walnut%20Tree%20(Juglans%20nigra)%20-%20Isabella%20C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erverdonk.com/wild%20flowers/Trees_and_Shrubs/Walnut%20Tree/200209150220%20Black%20Walnut%20Tree%20(Juglans%20nigra)%20-%20Isabella%20C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87D" w:rsidRDefault="00D1687D" w:rsidP="004F264F"/>
    <w:p w:rsidR="00D1687D" w:rsidRDefault="00D1687D" w:rsidP="00D1687D">
      <w:pPr>
        <w:jc w:val="center"/>
      </w:pPr>
      <w:r>
        <w:rPr>
          <w:noProof/>
        </w:rPr>
        <w:drawing>
          <wp:inline distT="0" distB="0" distL="0" distR="0" wp14:anchorId="56C9C7D8" wp14:editId="49A67769">
            <wp:extent cx="4911634" cy="4476750"/>
            <wp:effectExtent l="0" t="0" r="381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11634" cy="447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390A" w:rsidRDefault="0017390A" w:rsidP="00D1687D">
      <w:pPr>
        <w:jc w:val="center"/>
      </w:pPr>
    </w:p>
    <w:p w:rsidR="0017390A" w:rsidRDefault="0017390A" w:rsidP="00D1687D">
      <w:pPr>
        <w:jc w:val="center"/>
      </w:pPr>
      <w:r>
        <w:rPr>
          <w:noProof/>
        </w:rPr>
        <w:lastRenderedPageBreak/>
        <w:drawing>
          <wp:inline distT="0" distB="0" distL="0" distR="0" wp14:anchorId="1A0A21CF" wp14:editId="33B4203D">
            <wp:extent cx="5943600" cy="4703445"/>
            <wp:effectExtent l="0" t="0" r="0" b="19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03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390A" w:rsidRPr="0017390A" w:rsidRDefault="0017390A" w:rsidP="0017390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Garamond-Book"/>
          <w:sz w:val="24"/>
          <w:szCs w:val="24"/>
        </w:rPr>
      </w:pPr>
      <w:r w:rsidRPr="0017390A">
        <w:rPr>
          <w:rFonts w:cs="Garamond-Book"/>
          <w:sz w:val="24"/>
          <w:szCs w:val="24"/>
        </w:rPr>
        <w:t>P</w:t>
      </w:r>
      <w:r w:rsidRPr="0017390A">
        <w:rPr>
          <w:rFonts w:cs="Garamond-Book"/>
          <w:sz w:val="24"/>
          <w:szCs w:val="24"/>
        </w:rPr>
        <w:t>rimary</w:t>
      </w:r>
      <w:r>
        <w:rPr>
          <w:rFonts w:cs="Garamond-Book"/>
          <w:sz w:val="24"/>
          <w:szCs w:val="24"/>
        </w:rPr>
        <w:t xml:space="preserve"> </w:t>
      </w:r>
      <w:r w:rsidRPr="0017390A">
        <w:rPr>
          <w:rFonts w:cs="Garamond-Book"/>
          <w:sz w:val="24"/>
          <w:szCs w:val="24"/>
        </w:rPr>
        <w:t>outcome of interest was the presence of an association</w:t>
      </w:r>
      <w:r>
        <w:rPr>
          <w:rFonts w:cs="Garamond-Book"/>
          <w:sz w:val="24"/>
          <w:szCs w:val="24"/>
        </w:rPr>
        <w:t xml:space="preserve"> </w:t>
      </w:r>
      <w:r w:rsidRPr="0017390A">
        <w:rPr>
          <w:rFonts w:cs="Garamond-Book"/>
          <w:sz w:val="24"/>
          <w:szCs w:val="24"/>
        </w:rPr>
        <w:t>between rectal temperature and all-cause mortality</w:t>
      </w:r>
      <w:r>
        <w:rPr>
          <w:rFonts w:cs="Garamond-Book"/>
          <w:sz w:val="24"/>
          <w:szCs w:val="24"/>
        </w:rPr>
        <w:t xml:space="preserve"> </w:t>
      </w:r>
      <w:r w:rsidRPr="0017390A">
        <w:rPr>
          <w:rFonts w:cs="Garamond-Book"/>
          <w:sz w:val="24"/>
          <w:szCs w:val="24"/>
        </w:rPr>
        <w:t>(defined as death before or within 1 week after</w:t>
      </w:r>
    </w:p>
    <w:p w:rsidR="008C3397" w:rsidRDefault="0017390A" w:rsidP="008C3397">
      <w:pPr>
        <w:ind w:left="360"/>
        <w:rPr>
          <w:rFonts w:cs="Garamond-Book"/>
          <w:sz w:val="24"/>
          <w:szCs w:val="24"/>
        </w:rPr>
      </w:pPr>
      <w:r>
        <w:rPr>
          <w:rFonts w:cs="Garamond-Book"/>
          <w:sz w:val="24"/>
          <w:szCs w:val="24"/>
        </w:rPr>
        <w:t xml:space="preserve">      </w:t>
      </w:r>
      <w:proofErr w:type="gramStart"/>
      <w:r w:rsidRPr="0017390A">
        <w:rPr>
          <w:rFonts w:cs="Garamond-Book"/>
          <w:sz w:val="24"/>
          <w:szCs w:val="24"/>
        </w:rPr>
        <w:t>hospital</w:t>
      </w:r>
      <w:proofErr w:type="gramEnd"/>
      <w:r w:rsidRPr="0017390A">
        <w:rPr>
          <w:rFonts w:cs="Garamond-Book"/>
          <w:sz w:val="24"/>
          <w:szCs w:val="24"/>
        </w:rPr>
        <w:t xml:space="preserve"> discharge)</w:t>
      </w:r>
    </w:p>
    <w:p w:rsidR="0017390A" w:rsidRPr="008C3397" w:rsidRDefault="0017390A" w:rsidP="008C3397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8C3397">
        <w:rPr>
          <w:rFonts w:cs="Garamond-Book"/>
          <w:sz w:val="24"/>
          <w:szCs w:val="24"/>
        </w:rPr>
        <w:t>After bunny was acclimated, bunny was</w:t>
      </w:r>
      <w:r w:rsidRPr="008C3397">
        <w:rPr>
          <w:rFonts w:cs="Garamond-Book"/>
          <w:sz w:val="24"/>
          <w:szCs w:val="24"/>
        </w:rPr>
        <w:t xml:space="preserve"> cradle</w:t>
      </w:r>
      <w:r w:rsidRPr="008C3397">
        <w:rPr>
          <w:rFonts w:cs="Garamond-Book"/>
          <w:sz w:val="24"/>
          <w:szCs w:val="24"/>
        </w:rPr>
        <w:t xml:space="preserve">d on its back with the hind end </w:t>
      </w:r>
      <w:r w:rsidRPr="008C3397">
        <w:rPr>
          <w:rFonts w:cs="Garamond-Book"/>
          <w:sz w:val="24"/>
          <w:szCs w:val="24"/>
        </w:rPr>
        <w:t>supported,</w:t>
      </w:r>
      <w:r w:rsidRPr="008C3397">
        <w:rPr>
          <w:rFonts w:cs="Garamond-Book"/>
          <w:sz w:val="24"/>
          <w:szCs w:val="24"/>
        </w:rPr>
        <w:t xml:space="preserve"> </w:t>
      </w:r>
      <w:r w:rsidRPr="008C3397">
        <w:rPr>
          <w:rFonts w:cs="Garamond-Book"/>
          <w:sz w:val="24"/>
          <w:szCs w:val="24"/>
        </w:rPr>
        <w:t>and a second operator inserted the thermometer</w:t>
      </w:r>
    </w:p>
    <w:p w:rsidR="0017390A" w:rsidRPr="0017390A" w:rsidRDefault="0017390A" w:rsidP="0017390A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17390A">
        <w:rPr>
          <w:rFonts w:cs="Garamond-Book"/>
          <w:sz w:val="24"/>
          <w:szCs w:val="24"/>
        </w:rPr>
        <w:t>(</w:t>
      </w:r>
      <w:r w:rsidRPr="0017390A">
        <w:rPr>
          <w:rFonts w:cs="Symbol"/>
          <w:sz w:val="24"/>
          <w:szCs w:val="24"/>
        </w:rPr>
        <w:t>&gt;</w:t>
      </w:r>
      <w:r w:rsidRPr="0017390A">
        <w:rPr>
          <w:rFonts w:cs="Garamond-Book"/>
          <w:sz w:val="24"/>
          <w:szCs w:val="24"/>
        </w:rPr>
        <w:t xml:space="preserve">100.4° and </w:t>
      </w:r>
      <w:r w:rsidRPr="0017390A">
        <w:rPr>
          <w:rFonts w:cs="Symbol"/>
          <w:sz w:val="24"/>
          <w:szCs w:val="24"/>
        </w:rPr>
        <w:t>&lt;</w:t>
      </w:r>
      <w:r w:rsidRPr="0017390A">
        <w:rPr>
          <w:rFonts w:cs="Garamond-Book"/>
          <w:sz w:val="24"/>
          <w:szCs w:val="24"/>
        </w:rPr>
        <w:t>103.8°F)</w:t>
      </w:r>
      <w:r w:rsidRPr="0017390A">
        <w:rPr>
          <w:rFonts w:cs="Garamond-Book"/>
          <w:sz w:val="24"/>
          <w:szCs w:val="24"/>
        </w:rPr>
        <w:t xml:space="preserve"> was considered normal, </w:t>
      </w:r>
      <w:r>
        <w:rPr>
          <w:rFonts w:cs="Garamond-Book"/>
          <w:sz w:val="24"/>
          <w:szCs w:val="24"/>
        </w:rPr>
        <w:t>h</w:t>
      </w:r>
      <w:r w:rsidRPr="0017390A">
        <w:rPr>
          <w:rFonts w:cs="Garamond-Book"/>
          <w:sz w:val="24"/>
          <w:szCs w:val="24"/>
        </w:rPr>
        <w:t>ypothermia was defined as a rectal</w:t>
      </w:r>
      <w:r>
        <w:rPr>
          <w:rFonts w:cs="Garamond-Book"/>
          <w:sz w:val="24"/>
          <w:szCs w:val="24"/>
        </w:rPr>
        <w:t xml:space="preserve"> </w:t>
      </w:r>
      <w:r w:rsidRPr="0017390A">
        <w:rPr>
          <w:rFonts w:cs="Garamond-Book"/>
          <w:sz w:val="24"/>
          <w:szCs w:val="24"/>
        </w:rPr>
        <w:t xml:space="preserve">temperature </w:t>
      </w:r>
      <w:r w:rsidRPr="0017390A">
        <w:rPr>
          <w:rFonts w:cs="Symbol"/>
          <w:sz w:val="24"/>
          <w:szCs w:val="24"/>
        </w:rPr>
        <w:t xml:space="preserve"> </w:t>
      </w:r>
      <w:r w:rsidRPr="0017390A">
        <w:rPr>
          <w:rFonts w:cs="Garamond-Book"/>
          <w:sz w:val="24"/>
          <w:szCs w:val="24"/>
        </w:rPr>
        <w:t>37.9°C</w:t>
      </w:r>
      <w:r w:rsidR="008C3397">
        <w:rPr>
          <w:rFonts w:cs="Garamond-Book"/>
          <w:sz w:val="24"/>
          <w:szCs w:val="24"/>
        </w:rPr>
        <w:t>, predictor of death</w:t>
      </w:r>
    </w:p>
    <w:p w:rsidR="008C3397" w:rsidRDefault="008C3397" w:rsidP="0017390A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2 other factors were associated with mortality, suspicion of systemic disease and no defecation noted in &gt; 12hr, which doubled the odds of dying compared to those that had defecated within 12hr</w:t>
      </w:r>
    </w:p>
    <w:p w:rsidR="0017390A" w:rsidRPr="0017390A" w:rsidRDefault="008C3397" w:rsidP="0017390A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Hyperglycemia has also been associated wi</w:t>
      </w:r>
      <w:bookmarkStart w:id="0" w:name="_GoBack"/>
      <w:bookmarkEnd w:id="0"/>
      <w:r>
        <w:rPr>
          <w:sz w:val="24"/>
          <w:szCs w:val="24"/>
        </w:rPr>
        <w:t xml:space="preserve">th poor outcome in bunnies, hyponatremia &lt;129, increases mortality by 2.3 fold </w:t>
      </w:r>
    </w:p>
    <w:sectPr w:rsidR="0017390A" w:rsidRPr="001739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Sans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ramond-Book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-Book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30BD0"/>
    <w:multiLevelType w:val="hybridMultilevel"/>
    <w:tmpl w:val="EEA6DD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547D0C"/>
    <w:multiLevelType w:val="hybridMultilevel"/>
    <w:tmpl w:val="D51E7D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5B062E"/>
    <w:multiLevelType w:val="hybridMultilevel"/>
    <w:tmpl w:val="8E306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64F"/>
    <w:rsid w:val="0017390A"/>
    <w:rsid w:val="00255E3F"/>
    <w:rsid w:val="004F264F"/>
    <w:rsid w:val="008C3397"/>
    <w:rsid w:val="00A00AC5"/>
    <w:rsid w:val="00C83AE8"/>
    <w:rsid w:val="00D16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2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264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00A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2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264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00A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www.google.com/imgres?imgurl=http://www.vilmorin-tree-seeds.com/images/documents/images/juglans_nigra.jpg&amp;imgrefurl=http://www.vilmorin-tree-seeds.com/seeds/rootstock-of-fruit-trees/entry-12999-juglans-nigra.html&amp;h=400&amp;w=400&amp;tbnid=sWWON7abbP_kNM:&amp;docid=cMqsfYlD6be9QM&amp;ei=UNOmVqSVIMTj-QG44KqgBA&amp;tbm=isch&amp;ved=0ahUKEwik_Z3vsMbKAhXEcT4KHTiwCkQQMwh4KDwwP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Veterinary Medicine</Company>
  <LinksUpToDate>false</LinksUpToDate>
  <CharactersWithSpaces>1526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 A Pardo</dc:creator>
  <cp:lastModifiedBy>Mariana A Pardo</cp:lastModifiedBy>
  <cp:revision>2</cp:revision>
  <dcterms:created xsi:type="dcterms:W3CDTF">2016-01-26T02:53:00Z</dcterms:created>
  <dcterms:modified xsi:type="dcterms:W3CDTF">2016-01-26T02:53:00Z</dcterms:modified>
</cp:coreProperties>
</file>