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BC4" w:rsidRDefault="00E57409">
      <w:r>
        <w:t>Fracture Healing – Fossum 2</w:t>
      </w:r>
      <w:r w:rsidRPr="00E57409">
        <w:rPr>
          <w:vertAlign w:val="superscript"/>
        </w:rPr>
        <w:t>nd</w:t>
      </w:r>
      <w:r>
        <w:t xml:space="preserve"> Ed. Page 831-839</w:t>
      </w:r>
    </w:p>
    <w:p w:rsidR="00E57409" w:rsidRDefault="00501E29" w:rsidP="00E57409">
      <w:pPr>
        <w:pStyle w:val="ListParagraph"/>
        <w:numPr>
          <w:ilvl w:val="0"/>
          <w:numId w:val="1"/>
        </w:numPr>
      </w:pPr>
      <w:r>
        <w:t>Normal blood flow to bones</w:t>
      </w:r>
    </w:p>
    <w:p w:rsidR="00E57409" w:rsidRDefault="00E57409" w:rsidP="00E57409">
      <w:pPr>
        <w:pStyle w:val="ListParagraph"/>
        <w:numPr>
          <w:ilvl w:val="1"/>
          <w:numId w:val="1"/>
        </w:numPr>
      </w:pPr>
      <w:r>
        <w:t>Afferent supply from principal nutrient artery, proximal and distal metaphyseal arte</w:t>
      </w:r>
      <w:r w:rsidR="00916710">
        <w:t>ries, and periosteal arteries</w:t>
      </w:r>
    </w:p>
    <w:p w:rsidR="00916710" w:rsidRDefault="00916710" w:rsidP="00E57409">
      <w:pPr>
        <w:pStyle w:val="ListParagraph"/>
        <w:numPr>
          <w:ilvl w:val="1"/>
          <w:numId w:val="1"/>
        </w:numPr>
      </w:pPr>
      <w:r>
        <w:t xml:space="preserve">Blood flow it outward (centrifugal) from medullary canal to periosteum.  </w:t>
      </w:r>
    </w:p>
    <w:p w:rsidR="00916710" w:rsidRDefault="00916710" w:rsidP="00E57409">
      <w:pPr>
        <w:pStyle w:val="ListParagraph"/>
        <w:numPr>
          <w:ilvl w:val="1"/>
          <w:numId w:val="1"/>
        </w:numPr>
      </w:pPr>
      <w:r>
        <w:t>Young animals have increased blood flow</w:t>
      </w:r>
    </w:p>
    <w:p w:rsidR="00916710" w:rsidRDefault="00916710" w:rsidP="00E57409">
      <w:pPr>
        <w:pStyle w:val="ListParagraph"/>
        <w:numPr>
          <w:ilvl w:val="1"/>
          <w:numId w:val="1"/>
        </w:numPr>
      </w:pPr>
      <w:r>
        <w:t>Metaphyseal and epiphyseal blood flows are separate</w:t>
      </w:r>
    </w:p>
    <w:p w:rsidR="00916710" w:rsidRDefault="00916710" w:rsidP="00916710">
      <w:pPr>
        <w:pStyle w:val="ListParagraph"/>
        <w:numPr>
          <w:ilvl w:val="2"/>
          <w:numId w:val="1"/>
        </w:numPr>
      </w:pPr>
      <w:r>
        <w:t>Physis gets supply from epiphyseal vessels</w:t>
      </w:r>
    </w:p>
    <w:p w:rsidR="00501E29" w:rsidRDefault="00501E29" w:rsidP="00501E29">
      <w:pPr>
        <w:pStyle w:val="ListParagraph"/>
        <w:numPr>
          <w:ilvl w:val="1"/>
          <w:numId w:val="1"/>
        </w:numPr>
      </w:pPr>
      <w:r>
        <w:t>Bones with increased muscular attachment have additional blood flow from muscles</w:t>
      </w:r>
    </w:p>
    <w:p w:rsidR="00B34F32" w:rsidRDefault="00B34F32" w:rsidP="00501E29">
      <w:pPr>
        <w:pStyle w:val="ListParagraph"/>
        <w:numPr>
          <w:ilvl w:val="1"/>
          <w:numId w:val="1"/>
        </w:numPr>
      </w:pPr>
      <w:r>
        <w:t>Cerclage wire does not significantly disrupt periosteal blood flow</w:t>
      </w:r>
    </w:p>
    <w:p w:rsidR="00501E29" w:rsidRDefault="00653E90" w:rsidP="00501E29">
      <w:pPr>
        <w:pStyle w:val="ListParagraph"/>
        <w:numPr>
          <w:ilvl w:val="0"/>
          <w:numId w:val="1"/>
        </w:numPr>
      </w:pPr>
      <w:r>
        <w:t>Initiation of healing</w:t>
      </w:r>
    </w:p>
    <w:p w:rsidR="00653E90" w:rsidRDefault="00653E90" w:rsidP="00653E90">
      <w:pPr>
        <w:pStyle w:val="ListParagraph"/>
        <w:numPr>
          <w:ilvl w:val="1"/>
          <w:numId w:val="1"/>
        </w:numPr>
      </w:pPr>
      <w:r>
        <w:t>Hematoma and inflammatory cells secrete pro-inflammatory cytokines</w:t>
      </w:r>
    </w:p>
    <w:p w:rsidR="00653E90" w:rsidRDefault="00653E90" w:rsidP="00653E90">
      <w:pPr>
        <w:pStyle w:val="ListParagraph"/>
        <w:numPr>
          <w:ilvl w:val="2"/>
          <w:numId w:val="1"/>
        </w:numPr>
      </w:pPr>
      <w:r>
        <w:t>IL-1, IL-6 are especially important in early fracture healing</w:t>
      </w:r>
    </w:p>
    <w:p w:rsidR="00F153FF" w:rsidRDefault="00DB33FF" w:rsidP="00F153FF">
      <w:pPr>
        <w:pStyle w:val="ListParagraph"/>
        <w:numPr>
          <w:ilvl w:val="1"/>
          <w:numId w:val="1"/>
        </w:numPr>
      </w:pPr>
      <w:r>
        <w:t xml:space="preserve">TGF-beta and platelet-derived growth factor regulate cell proliferation and </w:t>
      </w:r>
      <w:r w:rsidR="00F153FF">
        <w:t>differentiation</w:t>
      </w:r>
    </w:p>
    <w:p w:rsidR="00F153FF" w:rsidRDefault="00F153FF" w:rsidP="00F153FF">
      <w:pPr>
        <w:pStyle w:val="ListParagraph"/>
        <w:numPr>
          <w:ilvl w:val="0"/>
          <w:numId w:val="1"/>
        </w:numPr>
      </w:pPr>
      <w:r>
        <w:t>Types of Bone Healing</w:t>
      </w:r>
    </w:p>
    <w:p w:rsidR="00F153FF" w:rsidRDefault="00F153FF" w:rsidP="00F153FF">
      <w:pPr>
        <w:pStyle w:val="ListParagraph"/>
        <w:numPr>
          <w:ilvl w:val="1"/>
          <w:numId w:val="1"/>
        </w:numPr>
      </w:pPr>
      <w:r>
        <w:t>Indirect</w:t>
      </w:r>
    </w:p>
    <w:p w:rsidR="00F153FF" w:rsidRDefault="00F153FF" w:rsidP="00F153FF">
      <w:pPr>
        <w:pStyle w:val="ListParagraph"/>
        <w:numPr>
          <w:ilvl w:val="2"/>
          <w:numId w:val="1"/>
        </w:numPr>
      </w:pPr>
      <w:r>
        <w:t>Unstable mechanical environment</w:t>
      </w:r>
    </w:p>
    <w:p w:rsidR="00F153FF" w:rsidRDefault="00F153FF" w:rsidP="00F153FF">
      <w:pPr>
        <w:pStyle w:val="ListParagraph"/>
        <w:numPr>
          <w:ilvl w:val="2"/>
          <w:numId w:val="1"/>
        </w:numPr>
      </w:pPr>
      <w:r>
        <w:t>Strain (change in gap width / total width) is decreased biologically</w:t>
      </w:r>
    </w:p>
    <w:p w:rsidR="00F153FF" w:rsidRDefault="00F153FF" w:rsidP="00F153FF">
      <w:pPr>
        <w:pStyle w:val="ListParagraph"/>
        <w:numPr>
          <w:ilvl w:val="3"/>
          <w:numId w:val="1"/>
        </w:numPr>
      </w:pPr>
      <w:r>
        <w:t>Fragment end reabsorption increased total width (denominator)</w:t>
      </w:r>
    </w:p>
    <w:p w:rsidR="00F153FF" w:rsidRDefault="00F153FF" w:rsidP="00F153FF">
      <w:pPr>
        <w:pStyle w:val="ListParagraph"/>
        <w:numPr>
          <w:ilvl w:val="3"/>
          <w:numId w:val="1"/>
        </w:numPr>
      </w:pPr>
      <w:r>
        <w:t>Increased fracture rigidity with tissue bridging</w:t>
      </w:r>
    </w:p>
    <w:p w:rsidR="00F153FF" w:rsidRDefault="00F153FF" w:rsidP="00F153FF">
      <w:pPr>
        <w:pStyle w:val="ListParagraph"/>
        <w:numPr>
          <w:ilvl w:val="3"/>
          <w:numId w:val="1"/>
        </w:numPr>
      </w:pPr>
      <w:r>
        <w:t>Decreased motion and bending with periosteal callus</w:t>
      </w:r>
    </w:p>
    <w:p w:rsidR="00F153FF" w:rsidRDefault="00F153FF" w:rsidP="00F153FF">
      <w:pPr>
        <w:pStyle w:val="ListParagraph"/>
        <w:numPr>
          <w:ilvl w:val="2"/>
          <w:numId w:val="1"/>
        </w:numPr>
      </w:pPr>
      <w:r>
        <w:t>Early new bone formation occurs in stable site away from fracture</w:t>
      </w:r>
    </w:p>
    <w:p w:rsidR="00F153FF" w:rsidRDefault="00F153FF" w:rsidP="00F153FF">
      <w:pPr>
        <w:pStyle w:val="ListParagraph"/>
        <w:numPr>
          <w:ilvl w:val="2"/>
          <w:numId w:val="1"/>
        </w:numPr>
      </w:pPr>
      <w:r>
        <w:t>Fracture site is bridged by hematoma and granuloma</w:t>
      </w:r>
    </w:p>
    <w:p w:rsidR="00F153FF" w:rsidRDefault="00F153FF" w:rsidP="00F153FF">
      <w:pPr>
        <w:pStyle w:val="ListParagraph"/>
        <w:numPr>
          <w:ilvl w:val="3"/>
          <w:numId w:val="1"/>
        </w:numPr>
      </w:pPr>
      <w:r>
        <w:t>Followed by fibrous connective tissue, fibrocartilage, and lamellar bone</w:t>
      </w:r>
    </w:p>
    <w:p w:rsidR="00F153FF" w:rsidRDefault="00F153FF" w:rsidP="00F153FF">
      <w:pPr>
        <w:pStyle w:val="ListParagraph"/>
        <w:numPr>
          <w:ilvl w:val="3"/>
          <w:numId w:val="1"/>
        </w:numPr>
      </w:pPr>
      <w:r>
        <w:t>Fibrocartilaginous mineralization</w:t>
      </w:r>
    </w:p>
    <w:p w:rsidR="00F153FF" w:rsidRDefault="00F153FF" w:rsidP="00F153FF">
      <w:pPr>
        <w:pStyle w:val="ListParagraph"/>
        <w:numPr>
          <w:ilvl w:val="4"/>
          <w:numId w:val="1"/>
        </w:numPr>
      </w:pPr>
      <w:r>
        <w:t>Starts at fragment ends, grows towards gap center</w:t>
      </w:r>
    </w:p>
    <w:p w:rsidR="00F153FF" w:rsidRDefault="00F153FF" w:rsidP="00F153FF">
      <w:pPr>
        <w:pStyle w:val="ListParagraph"/>
        <w:numPr>
          <w:ilvl w:val="3"/>
          <w:numId w:val="1"/>
        </w:numPr>
      </w:pPr>
      <w:r>
        <w:t>Ends with cortical bone</w:t>
      </w:r>
    </w:p>
    <w:p w:rsidR="00725EDC" w:rsidRDefault="00F153FF" w:rsidP="00725EDC">
      <w:pPr>
        <w:pStyle w:val="ListParagraph"/>
        <w:numPr>
          <w:ilvl w:val="0"/>
          <w:numId w:val="1"/>
        </w:numPr>
      </w:pPr>
      <w:r>
        <w:t>Intramembranous</w:t>
      </w:r>
      <w:r w:rsidR="00725EDC">
        <w:t xml:space="preserve"> bone formation (direct formation of cortical bone without cartilaginous precursor)</w:t>
      </w:r>
    </w:p>
    <w:p w:rsidR="00725EDC" w:rsidRDefault="00725EDC" w:rsidP="00725EDC">
      <w:pPr>
        <w:pStyle w:val="ListParagraph"/>
        <w:numPr>
          <w:ilvl w:val="1"/>
          <w:numId w:val="1"/>
        </w:numPr>
      </w:pPr>
      <w:r>
        <w:t>Occurs with minimal strain</w:t>
      </w:r>
    </w:p>
    <w:p w:rsidR="00725EDC" w:rsidRDefault="00725EDC" w:rsidP="00725EDC">
      <w:pPr>
        <w:pStyle w:val="ListParagraph"/>
        <w:numPr>
          <w:ilvl w:val="1"/>
          <w:numId w:val="1"/>
        </w:numPr>
      </w:pPr>
      <w:r>
        <w:t>Can be in combination with indirect</w:t>
      </w:r>
    </w:p>
    <w:p w:rsidR="00725EDC" w:rsidRDefault="00725EDC" w:rsidP="00725EDC">
      <w:pPr>
        <w:pStyle w:val="ListParagraph"/>
        <w:numPr>
          <w:ilvl w:val="1"/>
          <w:numId w:val="1"/>
        </w:numPr>
      </w:pPr>
      <w:r>
        <w:t>Still starts away from fracture and grows towards gap center</w:t>
      </w:r>
    </w:p>
    <w:p w:rsidR="00725EDC" w:rsidRDefault="00725EDC" w:rsidP="00725EDC">
      <w:pPr>
        <w:pStyle w:val="ListParagraph"/>
        <w:numPr>
          <w:ilvl w:val="0"/>
          <w:numId w:val="1"/>
        </w:numPr>
      </w:pPr>
      <w:r>
        <w:t>Direct Bone Healing</w:t>
      </w:r>
    </w:p>
    <w:p w:rsidR="00725EDC" w:rsidRDefault="00725EDC" w:rsidP="00725EDC">
      <w:pPr>
        <w:pStyle w:val="ListParagraph"/>
        <w:numPr>
          <w:ilvl w:val="1"/>
          <w:numId w:val="1"/>
        </w:numPr>
      </w:pPr>
      <w:r>
        <w:t>Bone formation directly at fracture sites, without an intermediate cartilage stage or visible callus)</w:t>
      </w:r>
    </w:p>
    <w:p w:rsidR="00725EDC" w:rsidRDefault="00725EDC" w:rsidP="00725EDC">
      <w:pPr>
        <w:pStyle w:val="ListParagraph"/>
        <w:numPr>
          <w:ilvl w:val="1"/>
          <w:numId w:val="1"/>
        </w:numPr>
      </w:pPr>
      <w:r>
        <w:t>Negligible strain</w:t>
      </w:r>
    </w:p>
    <w:p w:rsidR="00725EDC" w:rsidRDefault="00725EDC" w:rsidP="00725EDC">
      <w:pPr>
        <w:pStyle w:val="ListParagraph"/>
        <w:numPr>
          <w:ilvl w:val="1"/>
          <w:numId w:val="1"/>
        </w:numPr>
      </w:pPr>
      <w:r>
        <w:t>Bones are separated by 0 or very limited gap (150-300 microns)</w:t>
      </w:r>
    </w:p>
    <w:p w:rsidR="001E3A4D" w:rsidRDefault="001E3A4D" w:rsidP="00725EDC">
      <w:pPr>
        <w:pStyle w:val="ListParagraph"/>
        <w:numPr>
          <w:ilvl w:val="1"/>
          <w:numId w:val="1"/>
        </w:numPr>
      </w:pPr>
      <w:r>
        <w:t>First step is gap healing</w:t>
      </w:r>
    </w:p>
    <w:p w:rsidR="001E3A4D" w:rsidRDefault="001E3A4D" w:rsidP="001E3A4D">
      <w:pPr>
        <w:pStyle w:val="ListParagraph"/>
        <w:numPr>
          <w:ilvl w:val="2"/>
          <w:numId w:val="1"/>
        </w:numPr>
      </w:pPr>
      <w:r>
        <w:t>Small gaps filled with fibrous bone</w:t>
      </w:r>
    </w:p>
    <w:p w:rsidR="001E3A4D" w:rsidRDefault="001E3A4D" w:rsidP="001E3A4D">
      <w:pPr>
        <w:pStyle w:val="ListParagraph"/>
        <w:numPr>
          <w:ilvl w:val="1"/>
          <w:numId w:val="1"/>
        </w:numPr>
      </w:pPr>
      <w:r>
        <w:t>2</w:t>
      </w:r>
      <w:r w:rsidRPr="001E3A4D">
        <w:rPr>
          <w:vertAlign w:val="superscript"/>
        </w:rPr>
        <w:t>ND</w:t>
      </w:r>
      <w:r>
        <w:t xml:space="preserve"> Step is Haversian remodeling</w:t>
      </w:r>
    </w:p>
    <w:p w:rsidR="001E3A4D" w:rsidRDefault="001E3A4D" w:rsidP="001E3A4D">
      <w:pPr>
        <w:pStyle w:val="ListParagraph"/>
        <w:numPr>
          <w:ilvl w:val="2"/>
          <w:numId w:val="1"/>
        </w:numPr>
      </w:pPr>
      <w:r>
        <w:t>Osteoclastic breakdown longitudinally through fragments and new bone in gaps</w:t>
      </w:r>
    </w:p>
    <w:p w:rsidR="001E3A4D" w:rsidRDefault="001E3A4D" w:rsidP="001E3A4D">
      <w:pPr>
        <w:pStyle w:val="ListParagraph"/>
        <w:numPr>
          <w:ilvl w:val="2"/>
          <w:numId w:val="1"/>
        </w:numPr>
      </w:pPr>
      <w:r>
        <w:t xml:space="preserve"> Followed by osteoblasts and mesenchymal cells</w:t>
      </w:r>
    </w:p>
    <w:p w:rsidR="001B3FED" w:rsidRDefault="009F2FFA" w:rsidP="001B3FED">
      <w:pPr>
        <w:pStyle w:val="ListParagraph"/>
        <w:numPr>
          <w:ilvl w:val="0"/>
          <w:numId w:val="1"/>
        </w:numPr>
      </w:pPr>
      <w:r>
        <w:lastRenderedPageBreak/>
        <w:t xml:space="preserve">Distraction osteogenesis occurs when gradual </w:t>
      </w:r>
      <w:r w:rsidR="001B3FED">
        <w:t xml:space="preserve">traction is applied to cortical bone such that sufficient stress is created to stimulate and maintain formation of new bone.  </w:t>
      </w:r>
    </w:p>
    <w:p w:rsidR="001B3FED" w:rsidRDefault="001B3FED" w:rsidP="001B3FED">
      <w:pPr>
        <w:pStyle w:val="ListParagraph"/>
        <w:numPr>
          <w:ilvl w:val="0"/>
          <w:numId w:val="1"/>
        </w:numPr>
      </w:pPr>
      <w:r>
        <w:t>Trabecular bone healing is more stable and does not form periosteal callus unless there is severe instability</w:t>
      </w:r>
    </w:p>
    <w:p w:rsidR="001B3FED" w:rsidRDefault="001B3FED" w:rsidP="001B3FED">
      <w:r>
        <w:t>Radiography and bone healing</w:t>
      </w:r>
    </w:p>
    <w:p w:rsidR="001B3FED" w:rsidRDefault="001B3FED" w:rsidP="001B3FED">
      <w:pPr>
        <w:pStyle w:val="ListParagraph"/>
        <w:numPr>
          <w:ilvl w:val="0"/>
          <w:numId w:val="2"/>
        </w:numPr>
      </w:pPr>
      <w:r>
        <w:t xml:space="preserve">Q4-6 weeks </w:t>
      </w:r>
    </w:p>
    <w:p w:rsidR="001B3FED" w:rsidRDefault="001B3FED" w:rsidP="001B3FED">
      <w:pPr>
        <w:pStyle w:val="ListParagraph"/>
        <w:numPr>
          <w:ilvl w:val="0"/>
          <w:numId w:val="2"/>
        </w:numPr>
      </w:pPr>
      <w:r>
        <w:t>Observation of periosteal callus indicates indirect bone formation is occurring</w:t>
      </w:r>
    </w:p>
    <w:p w:rsidR="001B3FED" w:rsidRDefault="001B3FED" w:rsidP="001B3FED">
      <w:pPr>
        <w:pStyle w:val="ListParagraph"/>
        <w:numPr>
          <w:ilvl w:val="0"/>
          <w:numId w:val="2"/>
        </w:numPr>
      </w:pPr>
      <w:r>
        <w:t>Filling of stable fracture lines with bone indicates direct bone healing</w:t>
      </w:r>
    </w:p>
    <w:p w:rsidR="00ED395D" w:rsidRDefault="00ED395D" w:rsidP="001B3FED">
      <w:pPr>
        <w:pStyle w:val="ListParagraph"/>
        <w:numPr>
          <w:ilvl w:val="0"/>
          <w:numId w:val="2"/>
        </w:numPr>
      </w:pPr>
      <w:r>
        <w:t>Splints should be removed when callus had bridged the fracture</w:t>
      </w:r>
    </w:p>
    <w:p w:rsidR="00ED395D" w:rsidRDefault="00ED395D" w:rsidP="001B3FED">
      <w:pPr>
        <w:pStyle w:val="ListParagraph"/>
        <w:numPr>
          <w:ilvl w:val="0"/>
          <w:numId w:val="2"/>
        </w:numPr>
      </w:pPr>
      <w:r>
        <w:t>Fixator strength and stiffness is inversely correlated to amount of periosteal callus formation</w:t>
      </w:r>
    </w:p>
    <w:p w:rsidR="00ED395D" w:rsidRDefault="00ED395D" w:rsidP="007E0E0F"/>
    <w:p w:rsidR="007E0E0F" w:rsidRDefault="007E0E0F" w:rsidP="007E0E0F"/>
    <w:p w:rsidR="0000602E" w:rsidRDefault="0000602E">
      <w:r>
        <w:br w:type="page"/>
      </w:r>
    </w:p>
    <w:p w:rsidR="0000602E" w:rsidRDefault="0000602E" w:rsidP="0000602E">
      <w:r>
        <w:lastRenderedPageBreak/>
        <w:t>Questions:</w:t>
      </w:r>
    </w:p>
    <w:p w:rsidR="0000602E" w:rsidRDefault="0000602E" w:rsidP="0000602E">
      <w:r>
        <w:t>A 5 year old male-castrated great dane is diagnosed with a distal oblique diaphyseal radius fracture with an intact ulna.  The dog’s limb is splinted securely and you feel that there is minimal, if any, movement of the limb within the splint.  What type of bone healing do you expect to occur?</w:t>
      </w:r>
    </w:p>
    <w:p w:rsidR="0000602E" w:rsidRDefault="0000602E" w:rsidP="0000602E">
      <w:pPr>
        <w:pStyle w:val="ListParagraph"/>
        <w:numPr>
          <w:ilvl w:val="0"/>
          <w:numId w:val="3"/>
        </w:numPr>
      </w:pPr>
      <w:r>
        <w:t>Indirect boney healing</w:t>
      </w:r>
    </w:p>
    <w:p w:rsidR="0000602E" w:rsidRDefault="0000602E" w:rsidP="0000602E">
      <w:pPr>
        <w:pStyle w:val="ListParagraph"/>
        <w:numPr>
          <w:ilvl w:val="0"/>
          <w:numId w:val="3"/>
        </w:numPr>
      </w:pPr>
      <w:r>
        <w:t>Intramembranous bone formation</w:t>
      </w:r>
    </w:p>
    <w:p w:rsidR="0000602E" w:rsidRDefault="0000602E" w:rsidP="0000602E">
      <w:pPr>
        <w:pStyle w:val="ListParagraph"/>
        <w:numPr>
          <w:ilvl w:val="0"/>
          <w:numId w:val="3"/>
        </w:numPr>
      </w:pPr>
      <w:r>
        <w:t>Direct boney healing</w:t>
      </w:r>
    </w:p>
    <w:p w:rsidR="0000602E" w:rsidRDefault="0000602E" w:rsidP="0000602E">
      <w:pPr>
        <w:pStyle w:val="ListParagraph"/>
        <w:numPr>
          <w:ilvl w:val="0"/>
          <w:numId w:val="3"/>
        </w:numPr>
      </w:pPr>
      <w:r>
        <w:t>Distraction Osteogenesis</w:t>
      </w:r>
    </w:p>
    <w:p w:rsidR="0000602E" w:rsidRDefault="0000602E" w:rsidP="0000602E"/>
    <w:p w:rsidR="0000602E" w:rsidRDefault="0000602E" w:rsidP="0000602E">
      <w:r>
        <w:t>Which of the following plays the biggest role in regulation of cell proliferation and differentiation in bone healing</w:t>
      </w:r>
    </w:p>
    <w:p w:rsidR="0000602E" w:rsidRDefault="0000602E" w:rsidP="0000602E">
      <w:pPr>
        <w:pStyle w:val="ListParagraph"/>
        <w:numPr>
          <w:ilvl w:val="0"/>
          <w:numId w:val="4"/>
        </w:numPr>
      </w:pPr>
      <w:r>
        <w:t>IL-6</w:t>
      </w:r>
    </w:p>
    <w:p w:rsidR="0000602E" w:rsidRDefault="0000602E" w:rsidP="0000602E">
      <w:pPr>
        <w:pStyle w:val="ListParagraph"/>
        <w:numPr>
          <w:ilvl w:val="0"/>
          <w:numId w:val="4"/>
        </w:numPr>
      </w:pPr>
      <w:r>
        <w:t>IL-10</w:t>
      </w:r>
    </w:p>
    <w:p w:rsidR="0000602E" w:rsidRDefault="0000602E" w:rsidP="0000602E">
      <w:pPr>
        <w:pStyle w:val="ListParagraph"/>
        <w:numPr>
          <w:ilvl w:val="0"/>
          <w:numId w:val="4"/>
        </w:numPr>
      </w:pPr>
      <w:r>
        <w:t>TGF-beta</w:t>
      </w:r>
    </w:p>
    <w:p w:rsidR="0000602E" w:rsidRDefault="0000602E" w:rsidP="0000602E">
      <w:pPr>
        <w:pStyle w:val="ListParagraph"/>
        <w:numPr>
          <w:ilvl w:val="0"/>
          <w:numId w:val="4"/>
        </w:numPr>
      </w:pPr>
      <w:r>
        <w:t>TNF-alpha</w:t>
      </w:r>
    </w:p>
    <w:p w:rsidR="0000602E" w:rsidRDefault="0000602E" w:rsidP="0000602E"/>
    <w:p w:rsidR="0000602E" w:rsidRDefault="0000602E" w:rsidP="0000602E">
      <w:r>
        <w:t>True or false: Blood flow in bones is generally in the direction of periosteum towards the medullary cavity.</w:t>
      </w:r>
    </w:p>
    <w:p w:rsidR="0000602E" w:rsidRDefault="0000602E" w:rsidP="0000602E"/>
    <w:p w:rsidR="0000602E" w:rsidRDefault="0000602E" w:rsidP="0000602E">
      <w:r>
        <w:t>Longitudinal osteoclastic breakdown of bone, followed by longitudinal osteoblast precursor and mesenchymal cell migration is known as</w:t>
      </w:r>
    </w:p>
    <w:p w:rsidR="0000602E" w:rsidRDefault="0000602E" w:rsidP="0000602E">
      <w:pPr>
        <w:pStyle w:val="ListParagraph"/>
        <w:numPr>
          <w:ilvl w:val="0"/>
          <w:numId w:val="5"/>
        </w:numPr>
      </w:pPr>
      <w:r>
        <w:t>Gap healing</w:t>
      </w:r>
    </w:p>
    <w:p w:rsidR="0000602E" w:rsidRDefault="0000602E" w:rsidP="0000602E">
      <w:pPr>
        <w:pStyle w:val="ListParagraph"/>
        <w:numPr>
          <w:ilvl w:val="0"/>
          <w:numId w:val="5"/>
        </w:numPr>
      </w:pPr>
      <w:r>
        <w:t>Haversian Remodeling</w:t>
      </w:r>
    </w:p>
    <w:p w:rsidR="0000602E" w:rsidRDefault="0000602E" w:rsidP="0000602E">
      <w:pPr>
        <w:pStyle w:val="ListParagraph"/>
        <w:numPr>
          <w:ilvl w:val="0"/>
          <w:numId w:val="5"/>
        </w:numPr>
      </w:pPr>
      <w:r>
        <w:t>Intramembranous bone formation</w:t>
      </w:r>
    </w:p>
    <w:p w:rsidR="0000602E" w:rsidRDefault="0000602E" w:rsidP="0000602E">
      <w:pPr>
        <w:pStyle w:val="ListParagraph"/>
        <w:numPr>
          <w:ilvl w:val="0"/>
          <w:numId w:val="5"/>
        </w:numPr>
      </w:pPr>
      <w:r>
        <w:t>Vertical bone neogenesis</w:t>
      </w:r>
    </w:p>
    <w:p w:rsidR="0000602E" w:rsidRDefault="0000602E">
      <w:r>
        <w:br w:type="page"/>
      </w:r>
    </w:p>
    <w:p w:rsidR="0000602E" w:rsidRDefault="00A36F77" w:rsidP="0000602E">
      <w:r>
        <w:lastRenderedPageBreak/>
        <w:t>Answers</w:t>
      </w:r>
      <w:bookmarkStart w:id="0" w:name="_GoBack"/>
      <w:bookmarkEnd w:id="0"/>
      <w:r w:rsidR="0000602E">
        <w:t>:</w:t>
      </w:r>
    </w:p>
    <w:p w:rsidR="0000602E" w:rsidRDefault="0000602E" w:rsidP="0000602E">
      <w:r>
        <w:t>A 5 year old male-castrated great dane is diagnosed with a distal oblique diaphyseal radius fracture with an intact ulna.  The dog’s limb is splinted securely and you feel that there is minimal, if any, movement of the limb within the splint.  What type of bone healing do you expect to occur?</w:t>
      </w:r>
    </w:p>
    <w:p w:rsidR="0000602E" w:rsidRPr="0000602E" w:rsidRDefault="0000602E" w:rsidP="0000602E">
      <w:pPr>
        <w:pStyle w:val="ListParagraph"/>
        <w:numPr>
          <w:ilvl w:val="0"/>
          <w:numId w:val="3"/>
        </w:numPr>
        <w:rPr>
          <w:b/>
        </w:rPr>
      </w:pPr>
      <w:r w:rsidRPr="0000602E">
        <w:rPr>
          <w:b/>
        </w:rPr>
        <w:t>Indirect boney healing</w:t>
      </w:r>
    </w:p>
    <w:p w:rsidR="0000602E" w:rsidRDefault="0000602E" w:rsidP="0000602E">
      <w:pPr>
        <w:pStyle w:val="ListParagraph"/>
        <w:numPr>
          <w:ilvl w:val="0"/>
          <w:numId w:val="3"/>
        </w:numPr>
      </w:pPr>
      <w:r>
        <w:t>Intramembranous bone formation</w:t>
      </w:r>
    </w:p>
    <w:p w:rsidR="0000602E" w:rsidRDefault="0000602E" w:rsidP="0000602E">
      <w:pPr>
        <w:pStyle w:val="ListParagraph"/>
        <w:numPr>
          <w:ilvl w:val="0"/>
          <w:numId w:val="3"/>
        </w:numPr>
      </w:pPr>
      <w:r>
        <w:t>Direct boney healing</w:t>
      </w:r>
    </w:p>
    <w:p w:rsidR="0000602E" w:rsidRDefault="0000602E" w:rsidP="0000602E">
      <w:pPr>
        <w:pStyle w:val="ListParagraph"/>
        <w:numPr>
          <w:ilvl w:val="0"/>
          <w:numId w:val="3"/>
        </w:numPr>
      </w:pPr>
      <w:r>
        <w:t>Distraction Osteogenesis</w:t>
      </w:r>
    </w:p>
    <w:p w:rsidR="0000602E" w:rsidRDefault="0000602E" w:rsidP="0000602E"/>
    <w:p w:rsidR="0000602E" w:rsidRDefault="0000602E" w:rsidP="0000602E">
      <w:r>
        <w:t>Which of the following plays the biggest role in regulation of cell proliferation and differentiation in bone healing</w:t>
      </w:r>
    </w:p>
    <w:p w:rsidR="0000602E" w:rsidRDefault="0000602E" w:rsidP="0000602E">
      <w:pPr>
        <w:pStyle w:val="ListParagraph"/>
        <w:numPr>
          <w:ilvl w:val="0"/>
          <w:numId w:val="4"/>
        </w:numPr>
      </w:pPr>
      <w:r>
        <w:t>IL-6</w:t>
      </w:r>
    </w:p>
    <w:p w:rsidR="0000602E" w:rsidRDefault="0000602E" w:rsidP="0000602E">
      <w:pPr>
        <w:pStyle w:val="ListParagraph"/>
        <w:numPr>
          <w:ilvl w:val="0"/>
          <w:numId w:val="4"/>
        </w:numPr>
      </w:pPr>
      <w:r>
        <w:t>IL-10</w:t>
      </w:r>
    </w:p>
    <w:p w:rsidR="0000602E" w:rsidRPr="0000602E" w:rsidRDefault="0000602E" w:rsidP="0000602E">
      <w:pPr>
        <w:pStyle w:val="ListParagraph"/>
        <w:numPr>
          <w:ilvl w:val="0"/>
          <w:numId w:val="4"/>
        </w:numPr>
        <w:rPr>
          <w:b/>
        </w:rPr>
      </w:pPr>
      <w:r w:rsidRPr="0000602E">
        <w:rPr>
          <w:b/>
        </w:rPr>
        <w:t>TGF-beta</w:t>
      </w:r>
    </w:p>
    <w:p w:rsidR="0000602E" w:rsidRDefault="0000602E" w:rsidP="0000602E">
      <w:pPr>
        <w:pStyle w:val="ListParagraph"/>
        <w:numPr>
          <w:ilvl w:val="0"/>
          <w:numId w:val="4"/>
        </w:numPr>
      </w:pPr>
      <w:r>
        <w:t>TNF-alpha</w:t>
      </w:r>
    </w:p>
    <w:p w:rsidR="0000602E" w:rsidRDefault="0000602E" w:rsidP="0000602E"/>
    <w:p w:rsidR="0000602E" w:rsidRDefault="0000602E" w:rsidP="0000602E">
      <w:r>
        <w:t xml:space="preserve">True or </w:t>
      </w:r>
      <w:r w:rsidRPr="0000602E">
        <w:rPr>
          <w:b/>
        </w:rPr>
        <w:t>false</w:t>
      </w:r>
      <w:r>
        <w:t>: Blood flow in bones is generally in the direction of periosteum towards the medullary cavity.</w:t>
      </w:r>
    </w:p>
    <w:p w:rsidR="0000602E" w:rsidRDefault="0000602E" w:rsidP="0000602E"/>
    <w:p w:rsidR="0000602E" w:rsidRDefault="0000602E" w:rsidP="0000602E">
      <w:r>
        <w:t>Longitudinal osteoclastic breakdown of bone, followed by longitudinal osteoblast precursor and mesenchymal cell migration is known as</w:t>
      </w:r>
    </w:p>
    <w:p w:rsidR="0000602E" w:rsidRDefault="0000602E" w:rsidP="0000602E">
      <w:pPr>
        <w:pStyle w:val="ListParagraph"/>
        <w:numPr>
          <w:ilvl w:val="0"/>
          <w:numId w:val="5"/>
        </w:numPr>
      </w:pPr>
      <w:r>
        <w:t>Gap healing</w:t>
      </w:r>
    </w:p>
    <w:p w:rsidR="0000602E" w:rsidRPr="0000602E" w:rsidRDefault="0000602E" w:rsidP="0000602E">
      <w:pPr>
        <w:pStyle w:val="ListParagraph"/>
        <w:numPr>
          <w:ilvl w:val="0"/>
          <w:numId w:val="5"/>
        </w:numPr>
        <w:rPr>
          <w:b/>
        </w:rPr>
      </w:pPr>
      <w:r w:rsidRPr="0000602E">
        <w:rPr>
          <w:b/>
        </w:rPr>
        <w:t>Haversian Remodeling</w:t>
      </w:r>
    </w:p>
    <w:p w:rsidR="0000602E" w:rsidRDefault="0000602E" w:rsidP="0000602E">
      <w:pPr>
        <w:pStyle w:val="ListParagraph"/>
        <w:numPr>
          <w:ilvl w:val="0"/>
          <w:numId w:val="5"/>
        </w:numPr>
      </w:pPr>
      <w:r>
        <w:t>Intramembranous bone formation</w:t>
      </w:r>
    </w:p>
    <w:p w:rsidR="0000602E" w:rsidRDefault="0000602E" w:rsidP="0000602E">
      <w:pPr>
        <w:pStyle w:val="ListParagraph"/>
        <w:numPr>
          <w:ilvl w:val="0"/>
          <w:numId w:val="5"/>
        </w:numPr>
      </w:pPr>
      <w:r>
        <w:t>Vertical bone neogenesis</w:t>
      </w:r>
    </w:p>
    <w:p w:rsidR="00A42751" w:rsidRDefault="00A42751" w:rsidP="0000602E"/>
    <w:sectPr w:rsidR="00A427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7951"/>
    <w:multiLevelType w:val="hybridMultilevel"/>
    <w:tmpl w:val="9F3A12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246C9"/>
    <w:multiLevelType w:val="hybridMultilevel"/>
    <w:tmpl w:val="E8E078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F21B3"/>
    <w:multiLevelType w:val="hybridMultilevel"/>
    <w:tmpl w:val="321A7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FD239A"/>
    <w:multiLevelType w:val="hybridMultilevel"/>
    <w:tmpl w:val="775ED7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2725A6"/>
    <w:multiLevelType w:val="hybridMultilevel"/>
    <w:tmpl w:val="0E682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79"/>
    <w:rsid w:val="0000602E"/>
    <w:rsid w:val="001815B9"/>
    <w:rsid w:val="001B3FED"/>
    <w:rsid w:val="001E3A4D"/>
    <w:rsid w:val="00501E29"/>
    <w:rsid w:val="00653E90"/>
    <w:rsid w:val="00701453"/>
    <w:rsid w:val="00725EDC"/>
    <w:rsid w:val="007E0E0F"/>
    <w:rsid w:val="00807A56"/>
    <w:rsid w:val="008B3579"/>
    <w:rsid w:val="00916710"/>
    <w:rsid w:val="009F2FFA"/>
    <w:rsid w:val="00A36F77"/>
    <w:rsid w:val="00A42751"/>
    <w:rsid w:val="00B34F32"/>
    <w:rsid w:val="00D210A0"/>
    <w:rsid w:val="00DB33FF"/>
    <w:rsid w:val="00E57409"/>
    <w:rsid w:val="00ED395D"/>
    <w:rsid w:val="00F1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68E26-178E-44AB-B050-1FBF9D44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409"/>
    <w:pPr>
      <w:ind w:left="720"/>
      <w:contextualSpacing/>
    </w:pPr>
  </w:style>
  <w:style w:type="character" w:styleId="PlaceholderText">
    <w:name w:val="Placeholder Text"/>
    <w:basedOn w:val="DefaultParagraphFont"/>
    <w:uiPriority w:val="99"/>
    <w:semiHidden/>
    <w:rsid w:val="007E0E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4</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VM-Cah-icu-user</dc:creator>
  <cp:keywords/>
  <dc:description/>
  <cp:lastModifiedBy>VM-Cah-icu-user</cp:lastModifiedBy>
  <cp:revision>12</cp:revision>
  <dcterms:created xsi:type="dcterms:W3CDTF">2016-01-11T17:27:00Z</dcterms:created>
  <dcterms:modified xsi:type="dcterms:W3CDTF">2016-01-12T00:45:00Z</dcterms:modified>
</cp:coreProperties>
</file>