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65520" w:rsidRDefault="0028243D">
      <w:pPr>
        <w:numPr>
          <w:ilvl w:val="0"/>
          <w:numId w:val="2"/>
        </w:numPr>
        <w:ind w:hanging="360"/>
        <w:contextualSpacing/>
      </w:pPr>
      <w:r>
        <w:t>Choosing when to treat</w:t>
      </w:r>
    </w:p>
    <w:p w:rsidR="00065520" w:rsidRDefault="0028243D">
      <w:pPr>
        <w:numPr>
          <w:ilvl w:val="1"/>
          <w:numId w:val="2"/>
        </w:numPr>
        <w:ind w:hanging="360"/>
        <w:contextualSpacing/>
      </w:pPr>
      <w:r>
        <w:rPr>
          <w:noProof/>
        </w:rPr>
        <w:drawing>
          <wp:anchor distT="114300" distB="114300" distL="114300" distR="114300" simplePos="0" relativeHeight="251658240" behindDoc="0" locked="0" layoutInCell="0" hidden="0" allowOverlap="0" wp14:anchorId="2EA5719B" wp14:editId="1C0411B7">
            <wp:simplePos x="0" y="0"/>
            <wp:positionH relativeFrom="margin">
              <wp:posOffset>-675640</wp:posOffset>
            </wp:positionH>
            <wp:positionV relativeFrom="paragraph">
              <wp:posOffset>400050</wp:posOffset>
            </wp:positionV>
            <wp:extent cx="4871720" cy="5394960"/>
            <wp:effectExtent l="0" t="0" r="5080" b="0"/>
            <wp:wrapSquare wrapText="bothSides" distT="114300" distB="114300" distL="114300" distR="114300"/>
            <wp:docPr id="3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5394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89% of dogs with signs of vomiting had resolution within 2 days.  </w:t>
      </w:r>
      <w:r>
        <w:rPr>
          <w:noProof/>
        </w:rPr>
        <w:drawing>
          <wp:anchor distT="114300" distB="114300" distL="114300" distR="114300" simplePos="0" relativeHeight="251659264" behindDoc="0" locked="0" layoutInCell="0" hidden="0" allowOverlap="0" wp14:anchorId="331F85F4" wp14:editId="5B62AC6B">
            <wp:simplePos x="0" y="0"/>
            <wp:positionH relativeFrom="margin">
              <wp:posOffset>4429125</wp:posOffset>
            </wp:positionH>
            <wp:positionV relativeFrom="paragraph">
              <wp:posOffset>476250</wp:posOffset>
            </wp:positionV>
            <wp:extent cx="2287198" cy="5029200"/>
            <wp:effectExtent l="0" t="0" r="0" b="0"/>
            <wp:wrapSquare wrapText="bothSides" distT="114300" distB="114300" distL="114300" distR="114300"/>
            <wp:docPr id="5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7198" cy="502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520" w:rsidRDefault="00065520"/>
    <w:p w:rsidR="00065520" w:rsidRDefault="00065520"/>
    <w:p w:rsidR="00065520" w:rsidRDefault="00065520"/>
    <w:p w:rsidR="00065520" w:rsidRDefault="0028243D">
      <w:pPr>
        <w:numPr>
          <w:ilvl w:val="0"/>
          <w:numId w:val="1"/>
        </w:numPr>
        <w:ind w:hanging="360"/>
        <w:contextualSpacing/>
      </w:pPr>
      <w:r>
        <w:t>Ideal anti-emetic</w:t>
      </w:r>
    </w:p>
    <w:p w:rsidR="00065520" w:rsidRDefault="0028243D">
      <w:pPr>
        <w:numPr>
          <w:ilvl w:val="1"/>
          <w:numId w:val="1"/>
        </w:numPr>
        <w:ind w:hanging="360"/>
        <w:contextualSpacing/>
      </w:pPr>
      <w:r>
        <w:t>Act both centrally and peripherally</w:t>
      </w:r>
    </w:p>
    <w:p w:rsidR="00065520" w:rsidRDefault="0028243D">
      <w:pPr>
        <w:numPr>
          <w:ilvl w:val="1"/>
          <w:numId w:val="1"/>
        </w:numPr>
        <w:ind w:hanging="360"/>
        <w:contextualSpacing/>
      </w:pPr>
      <w:r>
        <w:t>Minimal cardiovascular effects</w:t>
      </w:r>
    </w:p>
    <w:p w:rsidR="00065520" w:rsidRDefault="0028243D">
      <w:pPr>
        <w:numPr>
          <w:ilvl w:val="2"/>
          <w:numId w:val="1"/>
        </w:numPr>
        <w:ind w:hanging="360"/>
        <w:contextualSpacing/>
      </w:pPr>
      <w:r>
        <w:t>vomiting patients may be hemodynamically compromised</w:t>
      </w:r>
    </w:p>
    <w:p w:rsidR="00065520" w:rsidRDefault="0028243D">
      <w:pPr>
        <w:numPr>
          <w:ilvl w:val="1"/>
          <w:numId w:val="1"/>
        </w:numPr>
        <w:ind w:hanging="360"/>
        <w:contextualSpacing/>
      </w:pPr>
      <w:r>
        <w:t>Wide therapeutic index</w:t>
      </w:r>
    </w:p>
    <w:p w:rsidR="00065520" w:rsidRDefault="0028243D">
      <w:pPr>
        <w:numPr>
          <w:ilvl w:val="2"/>
          <w:numId w:val="1"/>
        </w:numPr>
        <w:ind w:hanging="360"/>
        <w:contextualSpacing/>
      </w:pPr>
      <w:r>
        <w:t>due to frequent concurrent liver or kidney disease</w:t>
      </w:r>
    </w:p>
    <w:p w:rsidR="00065520" w:rsidRDefault="0028243D">
      <w:pPr>
        <w:numPr>
          <w:ilvl w:val="1"/>
          <w:numId w:val="1"/>
        </w:numPr>
        <w:ind w:hanging="360"/>
        <w:contextualSpacing/>
      </w:pPr>
      <w:r>
        <w:t>Few CNS effects</w:t>
      </w:r>
    </w:p>
    <w:p w:rsidR="00065520" w:rsidRDefault="0028243D">
      <w:pPr>
        <w:numPr>
          <w:ilvl w:val="2"/>
          <w:numId w:val="1"/>
        </w:numPr>
        <w:ind w:hanging="360"/>
        <w:contextualSpacing/>
      </w:pPr>
      <w:r>
        <w:t>increased risk of aspiration</w:t>
      </w:r>
    </w:p>
    <w:p w:rsidR="00065520" w:rsidRDefault="0028243D">
      <w:pPr>
        <w:numPr>
          <w:ilvl w:val="1"/>
          <w:numId w:val="1"/>
        </w:numPr>
        <w:ind w:hanging="360"/>
        <w:contextualSpacing/>
      </w:pPr>
      <w:r>
        <w:t>Lack of motility effects</w:t>
      </w:r>
    </w:p>
    <w:p w:rsidR="00065520" w:rsidRDefault="0028243D">
      <w:pPr>
        <w:numPr>
          <w:ilvl w:val="2"/>
          <w:numId w:val="1"/>
        </w:numPr>
        <w:ind w:hanging="360"/>
        <w:contextualSpacing/>
      </w:pPr>
      <w:r>
        <w:t>especially predisposing to ileus</w:t>
      </w:r>
    </w:p>
    <w:p w:rsidR="00065520" w:rsidRDefault="0028243D"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0" hidden="0" allowOverlap="0">
            <wp:simplePos x="0" y="0"/>
            <wp:positionH relativeFrom="margin">
              <wp:posOffset>-276224</wp:posOffset>
            </wp:positionH>
            <wp:positionV relativeFrom="paragraph">
              <wp:posOffset>0</wp:posOffset>
            </wp:positionV>
            <wp:extent cx="3954850" cy="4157663"/>
            <wp:effectExtent l="0" t="0" r="0" b="0"/>
            <wp:wrapSquare wrapText="bothSides" distT="114300" distB="114300" distL="114300" distR="114300"/>
            <wp:docPr id="4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4850" cy="4157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520" w:rsidRDefault="0028243D">
      <w:r>
        <w:br w:type="page"/>
      </w:r>
    </w:p>
    <w:p w:rsidR="00065520" w:rsidRDefault="00065520"/>
    <w:p w:rsidR="00065520" w:rsidRDefault="0028243D">
      <w:r>
        <w:rPr>
          <w:noProof/>
        </w:rPr>
        <w:drawing>
          <wp:anchor distT="0" distB="0" distL="0" distR="0" simplePos="0" relativeHeight="251661312" behindDoc="0" locked="0" layoutInCell="0" hidden="0" allowOverlap="0">
            <wp:simplePos x="0" y="0"/>
            <wp:positionH relativeFrom="margin">
              <wp:posOffset>-76199</wp:posOffset>
            </wp:positionH>
            <wp:positionV relativeFrom="paragraph">
              <wp:posOffset>114300</wp:posOffset>
            </wp:positionV>
            <wp:extent cx="5943600" cy="3873500"/>
            <wp:effectExtent l="0" t="0" r="0" b="0"/>
            <wp:wrapSquare wrapText="bothSides" distT="0" distB="0" distL="0" distR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0" hidden="0" allowOverlap="0">
            <wp:simplePos x="0" y="0"/>
            <wp:positionH relativeFrom="margin">
              <wp:posOffset>-95249</wp:posOffset>
            </wp:positionH>
            <wp:positionV relativeFrom="paragraph">
              <wp:posOffset>4010025</wp:posOffset>
            </wp:positionV>
            <wp:extent cx="6024563" cy="3810000"/>
            <wp:effectExtent l="0" t="0" r="0" b="0"/>
            <wp:wrapSquare wrapText="bothSides" distT="0" distB="0" distL="0" distR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4563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520" w:rsidRDefault="00065520">
      <w:bookmarkStart w:id="0" w:name="_GoBack"/>
      <w:bookmarkEnd w:id="0"/>
    </w:p>
    <w:p w:rsidR="00065520" w:rsidRDefault="0028243D">
      <w:pPr>
        <w:numPr>
          <w:ilvl w:val="0"/>
          <w:numId w:val="3"/>
        </w:numPr>
        <w:ind w:hanging="360"/>
        <w:contextualSpacing/>
      </w:pPr>
      <w:r>
        <w:t xml:space="preserve">Clinical Trials of </w:t>
      </w:r>
      <w:proofErr w:type="spellStart"/>
      <w:r>
        <w:t>antiemetics</w:t>
      </w:r>
      <w:proofErr w:type="spellEnd"/>
      <w:r>
        <w:t xml:space="preserve"> limited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 xml:space="preserve">Most with </w:t>
      </w:r>
      <w:proofErr w:type="spellStart"/>
      <w:r>
        <w:t>maropitant</w:t>
      </w:r>
      <w:proofErr w:type="spellEnd"/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Showed that it is better than metoclopramide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Showed that is effective for motion sickness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Showed that it is effective in chemotherapy induced emesis</w:t>
      </w:r>
    </w:p>
    <w:p w:rsidR="00065520" w:rsidRDefault="0028243D">
      <w:pPr>
        <w:numPr>
          <w:ilvl w:val="0"/>
          <w:numId w:val="3"/>
        </w:numPr>
        <w:ind w:hanging="360"/>
        <w:contextualSpacing/>
      </w:pPr>
      <w:r>
        <w:t>Dietary Management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>Hospitalized patients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Enteral is preferred over parenteral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Emesis is one of the main com</w:t>
      </w:r>
      <w:r>
        <w:t>plications with enteral nutrition</w:t>
      </w:r>
    </w:p>
    <w:p w:rsidR="00065520" w:rsidRDefault="0028243D">
      <w:pPr>
        <w:numPr>
          <w:ilvl w:val="4"/>
          <w:numId w:val="3"/>
        </w:numPr>
        <w:ind w:hanging="360"/>
        <w:contextualSpacing/>
      </w:pPr>
      <w:r>
        <w:t>both as a barrier and as a result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Experimental studies show that enteral nutrition is superior to parenteral is pancreatitis and gut-barrier function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Enteral is preferred to NPO in parvovirus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Randomized control trial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30 do</w:t>
      </w:r>
      <w:r>
        <w:t>gs - 15/15 given early enteral nutrition via NE tube survived vs 13/15 NPO until emesis stopped group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Early EN also showed more rapid improvement clinically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Enteral is preferred to parenteral in clinical HGE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Dogs grouped into early enteral feeding and pare</w:t>
      </w:r>
      <w:r>
        <w:t>nteral nutrition</w:t>
      </w:r>
    </w:p>
    <w:p w:rsidR="00065520" w:rsidRDefault="0028243D">
      <w:pPr>
        <w:numPr>
          <w:ilvl w:val="4"/>
          <w:numId w:val="3"/>
        </w:numPr>
        <w:ind w:hanging="360"/>
        <w:contextualSpacing/>
      </w:pPr>
      <w:r>
        <w:t>enteral consisted of syringe feeding with cottage cheese based, hydrolyzed diet with pancreatic enzyme pre-incubation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Dogs with early enteral vomited on day 2 (first day of feeding) often, but improved over subsequent days</w:t>
      </w:r>
    </w:p>
    <w:p w:rsidR="00065520" w:rsidRDefault="0028243D">
      <w:pPr>
        <w:numPr>
          <w:ilvl w:val="4"/>
          <w:numId w:val="3"/>
        </w:numPr>
        <w:ind w:hanging="360"/>
        <w:contextualSpacing/>
      </w:pPr>
      <w:r>
        <w:t>10/10 survival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P</w:t>
      </w:r>
      <w:r>
        <w:t>arenteral nutrition</w:t>
      </w:r>
    </w:p>
    <w:p w:rsidR="00065520" w:rsidRDefault="0028243D">
      <w:pPr>
        <w:numPr>
          <w:ilvl w:val="4"/>
          <w:numId w:val="3"/>
        </w:numPr>
        <w:ind w:hanging="360"/>
        <w:contextualSpacing/>
      </w:pPr>
      <w:r>
        <w:t>7/9 survival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>Outpatients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Re-feeding vs NPO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Little evidence to support either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 xml:space="preserve">Children with gastroenteritis - </w:t>
      </w:r>
      <w:proofErr w:type="spellStart"/>
      <w:r>
        <w:t>Sanhu</w:t>
      </w:r>
      <w:proofErr w:type="spellEnd"/>
      <w:r>
        <w:t xml:space="preserve"> (2001) review recommended early feeding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>Monitoring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Outpatients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Re-present dogs if no improvement, especially after a maximum of 48 hours</w:t>
      </w:r>
    </w:p>
    <w:p w:rsidR="00065520" w:rsidRDefault="0028243D">
      <w:pPr>
        <w:numPr>
          <w:ilvl w:val="0"/>
          <w:numId w:val="3"/>
        </w:numPr>
        <w:ind w:hanging="360"/>
        <w:contextualSpacing/>
      </w:pPr>
      <w:r>
        <w:t>Chemotherapy induced emesis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>Anticipated vomiting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Pavlovian, but very unlikely in dogs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t>Acute vomiting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within 24 hours of chemo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CRTZ stimulation by chemotherapeutic agent or peripheral stimulation by cytotoxic agents</w:t>
      </w:r>
    </w:p>
    <w:p w:rsidR="00065520" w:rsidRDefault="0028243D">
      <w:pPr>
        <w:numPr>
          <w:ilvl w:val="1"/>
          <w:numId w:val="3"/>
        </w:numPr>
        <w:ind w:hanging="360"/>
        <w:contextualSpacing/>
      </w:pPr>
      <w:r>
        <w:lastRenderedPageBreak/>
        <w:t>Delayed vomiting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1-5 days post-chemo</w:t>
      </w:r>
    </w:p>
    <w:p w:rsidR="00065520" w:rsidRDefault="0028243D">
      <w:pPr>
        <w:numPr>
          <w:ilvl w:val="2"/>
          <w:numId w:val="3"/>
        </w:numPr>
        <w:ind w:hanging="360"/>
        <w:contextualSpacing/>
      </w:pPr>
      <w:r>
        <w:t>Multifactorial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Decreased intestinal motility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Release of intestinal hormones</w:t>
      </w:r>
    </w:p>
    <w:p w:rsidR="00065520" w:rsidRDefault="0028243D">
      <w:pPr>
        <w:numPr>
          <w:ilvl w:val="3"/>
          <w:numId w:val="3"/>
        </w:numPr>
        <w:ind w:hanging="360"/>
        <w:contextualSpacing/>
      </w:pPr>
      <w:r>
        <w:t>Accumulation of metabolites of cytotoxic agents</w:t>
      </w:r>
    </w:p>
    <w:p w:rsidR="00065520" w:rsidRDefault="0028243D">
      <w:pPr>
        <w:numPr>
          <w:ilvl w:val="4"/>
          <w:numId w:val="3"/>
        </w:numPr>
        <w:ind w:hanging="360"/>
        <w:contextualSpacing/>
      </w:pPr>
      <w:r>
        <w:t>especi</w:t>
      </w:r>
      <w:r>
        <w:t xml:space="preserve">ally </w:t>
      </w:r>
      <w:proofErr w:type="spellStart"/>
      <w:r>
        <w:t>platinums</w:t>
      </w:r>
      <w:proofErr w:type="spellEnd"/>
    </w:p>
    <w:p w:rsidR="00065520" w:rsidRDefault="0028243D">
      <w:r>
        <w:rPr>
          <w:noProof/>
        </w:rPr>
        <w:drawing>
          <wp:anchor distT="114300" distB="114300" distL="114300" distR="114300" simplePos="0" relativeHeight="251663360" behindDoc="0" locked="0" layoutInCell="0" hidden="0" allowOverlap="0">
            <wp:simplePos x="0" y="0"/>
            <wp:positionH relativeFrom="margin">
              <wp:posOffset>3155950</wp:posOffset>
            </wp:positionH>
            <wp:positionV relativeFrom="paragraph">
              <wp:posOffset>165100</wp:posOffset>
            </wp:positionV>
            <wp:extent cx="3238236" cy="6405563"/>
            <wp:effectExtent l="0" t="0" r="0" b="0"/>
            <wp:wrapSquare wrapText="bothSides" distT="114300" distB="114300" distL="114300" distR="114300"/>
            <wp:docPr id="2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236" cy="6405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520" w:rsidRDefault="0028243D">
      <w:pPr>
        <w:ind w:left="720"/>
      </w:pPr>
      <w:r>
        <w:t>Bonus material:</w:t>
      </w:r>
    </w:p>
    <w:p w:rsidR="00065520" w:rsidRDefault="00065520">
      <w:pPr>
        <w:ind w:left="720"/>
      </w:pPr>
    </w:p>
    <w:p w:rsidR="00065520" w:rsidRDefault="0028243D">
      <w:pPr>
        <w:ind w:left="720"/>
      </w:pPr>
      <w:r>
        <w:t>Cats:</w:t>
      </w:r>
    </w:p>
    <w:p w:rsidR="00065520" w:rsidRDefault="0028243D">
      <w:pPr>
        <w:ind w:left="720"/>
      </w:pPr>
      <w:proofErr w:type="gramStart"/>
      <w:r>
        <w:t>bioavailability</w:t>
      </w:r>
      <w:proofErr w:type="gramEnd"/>
    </w:p>
    <w:p w:rsidR="00065520" w:rsidRDefault="0028243D">
      <w:pPr>
        <w:ind w:left="720"/>
      </w:pPr>
      <w:r>
        <w:t>32% (oral) and 75% (subcutaneous)</w:t>
      </w:r>
    </w:p>
    <w:p w:rsidR="00065520" w:rsidRDefault="0028243D">
      <w:pPr>
        <w:ind w:left="720"/>
      </w:pPr>
      <w:proofErr w:type="spellStart"/>
      <w:r>
        <w:t>Halflife</w:t>
      </w:r>
      <w:proofErr w:type="spellEnd"/>
      <w:r>
        <w:t>:</w:t>
      </w:r>
    </w:p>
    <w:p w:rsidR="00065520" w:rsidRDefault="0028243D">
      <w:pPr>
        <w:ind w:left="720"/>
      </w:pPr>
      <w:r>
        <w:t>1.84 ± 0.58 h (intravenous), 1.18 ± 0.27 h (oral) and 3.17 ± 0.53 h (subcutaneous)</w:t>
      </w:r>
    </w:p>
    <w:p w:rsidR="00065520" w:rsidRDefault="00065520">
      <w:pPr>
        <w:ind w:left="720"/>
      </w:pPr>
    </w:p>
    <w:p w:rsidR="00065520" w:rsidRDefault="0028243D">
      <w:pPr>
        <w:ind w:left="720"/>
      </w:pPr>
      <w:r>
        <w:t>Dogs:</w:t>
      </w:r>
    </w:p>
    <w:p w:rsidR="00065520" w:rsidRDefault="0028243D">
      <w:pPr>
        <w:ind w:left="720"/>
      </w:pPr>
      <w:r>
        <w:t>Bioavailability</w:t>
      </w:r>
    </w:p>
    <w:p w:rsidR="00065520" w:rsidRDefault="0028243D">
      <w:pPr>
        <w:ind w:left="720"/>
      </w:pPr>
      <w:r>
        <w:t>10% oral</w:t>
      </w:r>
    </w:p>
    <w:p w:rsidR="00065520" w:rsidRDefault="0028243D">
      <w:pPr>
        <w:ind w:left="720"/>
      </w:pPr>
      <w:proofErr w:type="spellStart"/>
      <w:r>
        <w:t>Halflife</w:t>
      </w:r>
      <w:proofErr w:type="spellEnd"/>
    </w:p>
    <w:p w:rsidR="00065520" w:rsidRDefault="0028243D">
      <w:pPr>
        <w:ind w:left="720"/>
      </w:pPr>
      <w:r>
        <w:t>0.5h</w:t>
      </w:r>
    </w:p>
    <w:sectPr w:rsidR="000655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5267"/>
    <w:multiLevelType w:val="multilevel"/>
    <w:tmpl w:val="233658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47333E53"/>
    <w:multiLevelType w:val="multilevel"/>
    <w:tmpl w:val="7BD87A7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F22058E"/>
    <w:multiLevelType w:val="multilevel"/>
    <w:tmpl w:val="AF20E5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5520"/>
    <w:rsid w:val="00065520"/>
    <w:rsid w:val="002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</cp:lastModifiedBy>
  <cp:revision>2</cp:revision>
  <dcterms:created xsi:type="dcterms:W3CDTF">2015-08-25T20:24:00Z</dcterms:created>
  <dcterms:modified xsi:type="dcterms:W3CDTF">2015-08-25T20:24:00Z</dcterms:modified>
</cp:coreProperties>
</file>