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E0AA50" w14:textId="77777777" w:rsidR="00676CC5" w:rsidRPr="007D4BB7" w:rsidRDefault="00676CC5" w:rsidP="00676CC5">
      <w:pPr>
        <w:rPr>
          <w:sz w:val="22"/>
          <w:szCs w:val="22"/>
        </w:rPr>
      </w:pPr>
      <w:proofErr w:type="spellStart"/>
      <w:r w:rsidRPr="007D4BB7">
        <w:rPr>
          <w:sz w:val="22"/>
          <w:szCs w:val="22"/>
        </w:rPr>
        <w:t>Crit</w:t>
      </w:r>
      <w:proofErr w:type="spellEnd"/>
      <w:r w:rsidRPr="007D4BB7">
        <w:rPr>
          <w:sz w:val="22"/>
          <w:szCs w:val="22"/>
        </w:rPr>
        <w:t xml:space="preserve"> Care Med. 2015 Nov; 43(11)</w:t>
      </w:r>
      <w:proofErr w:type="gramStart"/>
      <w:r w:rsidRPr="007D4BB7">
        <w:rPr>
          <w:sz w:val="22"/>
          <w:szCs w:val="22"/>
        </w:rPr>
        <w:t>:2292</w:t>
      </w:r>
      <w:proofErr w:type="gramEnd"/>
      <w:r w:rsidRPr="007D4BB7">
        <w:rPr>
          <w:sz w:val="22"/>
          <w:szCs w:val="22"/>
        </w:rPr>
        <w:t xml:space="preserve">-302 </w:t>
      </w:r>
    </w:p>
    <w:p w14:paraId="4AF2AE8E" w14:textId="77777777" w:rsidR="00676CC5" w:rsidRPr="007D4BB7" w:rsidRDefault="00676CC5" w:rsidP="00676CC5">
      <w:pPr>
        <w:rPr>
          <w:b/>
          <w:sz w:val="22"/>
          <w:szCs w:val="22"/>
        </w:rPr>
      </w:pPr>
      <w:r w:rsidRPr="007D4BB7">
        <w:rPr>
          <w:b/>
          <w:sz w:val="22"/>
          <w:szCs w:val="22"/>
        </w:rPr>
        <w:t>Double-Blind Prospective Randomized Controlled Trial of Dopamine Versus Epinephrine as First-Line Vasoactive Drugs in Pediatric Septic Shock</w:t>
      </w:r>
    </w:p>
    <w:p w14:paraId="5B1F6237" w14:textId="77777777" w:rsidR="00676CC5" w:rsidRPr="007D4BB7" w:rsidRDefault="00676CC5" w:rsidP="00676CC5">
      <w:pPr>
        <w:rPr>
          <w:sz w:val="22"/>
          <w:szCs w:val="22"/>
        </w:rPr>
      </w:pPr>
    </w:p>
    <w:p w14:paraId="5E07AFA5" w14:textId="77777777" w:rsidR="00676CC5" w:rsidRPr="007D4BB7" w:rsidRDefault="00676CC5" w:rsidP="00676CC5">
      <w:pPr>
        <w:rPr>
          <w:sz w:val="22"/>
          <w:szCs w:val="22"/>
        </w:rPr>
      </w:pPr>
      <w:r w:rsidRPr="007D4BB7">
        <w:rPr>
          <w:b/>
          <w:sz w:val="22"/>
          <w:szCs w:val="22"/>
        </w:rPr>
        <w:t>OBJECTIVES:</w:t>
      </w:r>
      <w:r w:rsidRPr="007D4BB7">
        <w:rPr>
          <w:sz w:val="22"/>
          <w:szCs w:val="22"/>
        </w:rPr>
        <w:t xml:space="preserve"> The primary outcome was to compare the effects of dopamine or epinephrine in severe sepsis on 28-day mortality; secondary outcomes were the rate of healthcare-associated infection, the need for other vasoactive drugs, and the multiple organ dysfunction score.</w:t>
      </w:r>
    </w:p>
    <w:p w14:paraId="67EA3AB6" w14:textId="77777777" w:rsidR="00676CC5" w:rsidRPr="007D4BB7" w:rsidRDefault="00676CC5" w:rsidP="00676CC5">
      <w:pPr>
        <w:rPr>
          <w:sz w:val="22"/>
          <w:szCs w:val="22"/>
        </w:rPr>
      </w:pPr>
    </w:p>
    <w:p w14:paraId="1FDB35EE" w14:textId="77777777" w:rsidR="00676CC5" w:rsidRPr="007D4BB7" w:rsidRDefault="00676CC5" w:rsidP="00676CC5">
      <w:pPr>
        <w:rPr>
          <w:sz w:val="22"/>
          <w:szCs w:val="22"/>
        </w:rPr>
      </w:pPr>
      <w:r w:rsidRPr="007D4BB7">
        <w:rPr>
          <w:b/>
          <w:sz w:val="22"/>
          <w:szCs w:val="22"/>
        </w:rPr>
        <w:t>DESIGN:</w:t>
      </w:r>
      <w:r w:rsidRPr="007D4BB7">
        <w:rPr>
          <w:sz w:val="22"/>
          <w:szCs w:val="22"/>
        </w:rPr>
        <w:t xml:space="preserve"> </w:t>
      </w:r>
      <w:proofErr w:type="gramStart"/>
      <w:r w:rsidRPr="007D4BB7">
        <w:rPr>
          <w:sz w:val="22"/>
          <w:szCs w:val="22"/>
        </w:rPr>
        <w:t>Double-blind</w:t>
      </w:r>
      <w:proofErr w:type="gramEnd"/>
      <w:r w:rsidRPr="007D4BB7">
        <w:rPr>
          <w:sz w:val="22"/>
          <w:szCs w:val="22"/>
        </w:rPr>
        <w:t xml:space="preserve">, prospective, randomized controlled trial from February 1, 2009, to </w:t>
      </w:r>
    </w:p>
    <w:p w14:paraId="37B0AED3" w14:textId="77777777" w:rsidR="00676CC5" w:rsidRPr="007D4BB7" w:rsidRDefault="00676CC5" w:rsidP="00676CC5">
      <w:pPr>
        <w:rPr>
          <w:sz w:val="22"/>
          <w:szCs w:val="22"/>
        </w:rPr>
      </w:pPr>
      <w:r w:rsidRPr="007D4BB7">
        <w:rPr>
          <w:sz w:val="22"/>
          <w:szCs w:val="22"/>
        </w:rPr>
        <w:t>July 31, 2013.</w:t>
      </w:r>
    </w:p>
    <w:p w14:paraId="102F9372" w14:textId="77777777" w:rsidR="00676CC5" w:rsidRPr="007D4BB7" w:rsidRDefault="00676CC5" w:rsidP="00676CC5">
      <w:pPr>
        <w:rPr>
          <w:sz w:val="22"/>
          <w:szCs w:val="22"/>
        </w:rPr>
      </w:pPr>
    </w:p>
    <w:p w14:paraId="0C383823" w14:textId="77777777" w:rsidR="00676CC5" w:rsidRPr="007D4BB7" w:rsidRDefault="00676CC5" w:rsidP="00676CC5">
      <w:pPr>
        <w:rPr>
          <w:sz w:val="22"/>
          <w:szCs w:val="22"/>
        </w:rPr>
      </w:pPr>
      <w:r w:rsidRPr="007D4BB7">
        <w:rPr>
          <w:b/>
          <w:sz w:val="22"/>
          <w:szCs w:val="22"/>
        </w:rPr>
        <w:t>SETTING:</w:t>
      </w:r>
      <w:r w:rsidRPr="007D4BB7">
        <w:rPr>
          <w:sz w:val="22"/>
          <w:szCs w:val="22"/>
        </w:rPr>
        <w:t xml:space="preserve"> PICU, Hospital </w:t>
      </w:r>
      <w:proofErr w:type="spellStart"/>
      <w:r w:rsidRPr="007D4BB7">
        <w:rPr>
          <w:sz w:val="22"/>
          <w:szCs w:val="22"/>
        </w:rPr>
        <w:t>Universitário</w:t>
      </w:r>
      <w:proofErr w:type="spellEnd"/>
      <w:r w:rsidRPr="007D4BB7">
        <w:rPr>
          <w:sz w:val="22"/>
          <w:szCs w:val="22"/>
        </w:rPr>
        <w:t xml:space="preserve"> da </w:t>
      </w:r>
      <w:proofErr w:type="spellStart"/>
      <w:r w:rsidRPr="007D4BB7">
        <w:rPr>
          <w:sz w:val="22"/>
          <w:szCs w:val="22"/>
        </w:rPr>
        <w:t>Universidade</w:t>
      </w:r>
      <w:proofErr w:type="spellEnd"/>
      <w:r w:rsidRPr="007D4BB7">
        <w:rPr>
          <w:sz w:val="22"/>
          <w:szCs w:val="22"/>
        </w:rPr>
        <w:t xml:space="preserve"> de São Paulo, Brazil.</w:t>
      </w:r>
    </w:p>
    <w:p w14:paraId="63CE4146" w14:textId="77777777" w:rsidR="00676CC5" w:rsidRPr="007D4BB7" w:rsidRDefault="00676CC5" w:rsidP="00676CC5">
      <w:pPr>
        <w:rPr>
          <w:sz w:val="22"/>
          <w:szCs w:val="22"/>
        </w:rPr>
      </w:pPr>
    </w:p>
    <w:p w14:paraId="7AAAFADC" w14:textId="77777777" w:rsidR="00676CC5" w:rsidRPr="007D4BB7" w:rsidRDefault="00676CC5" w:rsidP="00676CC5">
      <w:pPr>
        <w:rPr>
          <w:sz w:val="22"/>
          <w:szCs w:val="22"/>
        </w:rPr>
      </w:pPr>
      <w:r w:rsidRPr="007D4BB7">
        <w:rPr>
          <w:b/>
          <w:sz w:val="22"/>
          <w:szCs w:val="22"/>
        </w:rPr>
        <w:t>PATIENTS:</w:t>
      </w:r>
      <w:r w:rsidRPr="007D4BB7">
        <w:rPr>
          <w:sz w:val="22"/>
          <w:szCs w:val="22"/>
        </w:rPr>
        <w:t xml:space="preserve"> Consecutive children who are 1 month to 15 years old and met the clinical criteria for fluid-refractory septic shock. Exclusions were receiving vasoactive drug(s) prior to hospital admission, having known cardiac disease, having already participated in the trial during the same hospital stay, refusing to participate, or having do-not-resuscitate orders.</w:t>
      </w:r>
    </w:p>
    <w:p w14:paraId="0C66C15C" w14:textId="77777777" w:rsidR="00676CC5" w:rsidRPr="007D4BB7" w:rsidRDefault="00676CC5" w:rsidP="00676CC5">
      <w:pPr>
        <w:rPr>
          <w:sz w:val="22"/>
          <w:szCs w:val="22"/>
        </w:rPr>
      </w:pPr>
    </w:p>
    <w:p w14:paraId="5D14AE94" w14:textId="77777777" w:rsidR="00676CC5" w:rsidRPr="007D4BB7" w:rsidRDefault="00676CC5" w:rsidP="00676CC5">
      <w:pPr>
        <w:rPr>
          <w:sz w:val="22"/>
          <w:szCs w:val="22"/>
        </w:rPr>
      </w:pPr>
      <w:r w:rsidRPr="007D4BB7">
        <w:rPr>
          <w:b/>
          <w:sz w:val="22"/>
          <w:szCs w:val="22"/>
        </w:rPr>
        <w:t>INTERVENTIONS:</w:t>
      </w:r>
      <w:r w:rsidRPr="007D4BB7">
        <w:rPr>
          <w:sz w:val="22"/>
          <w:szCs w:val="22"/>
        </w:rPr>
        <w:t xml:space="preserve"> </w:t>
      </w:r>
      <w:r w:rsidRPr="007D4BB7">
        <w:rPr>
          <w:rFonts w:hint="eastAsia"/>
          <w:sz w:val="22"/>
          <w:szCs w:val="22"/>
        </w:rPr>
        <w:t xml:space="preserve">Patients were randomly assigned to receive either dopamine (5-10 </w:t>
      </w:r>
      <w:r w:rsidRPr="007D4BB7">
        <w:rPr>
          <w:rFonts w:hint="eastAsia"/>
          <w:sz w:val="22"/>
          <w:szCs w:val="22"/>
        </w:rPr>
        <w:t>μ</w:t>
      </w:r>
      <w:r w:rsidRPr="007D4BB7">
        <w:rPr>
          <w:rFonts w:hint="eastAsia"/>
          <w:sz w:val="22"/>
          <w:szCs w:val="22"/>
        </w:rPr>
        <w:t xml:space="preserve">g/kg/min) or epinephrine (0.1-0.3 </w:t>
      </w:r>
      <w:r w:rsidRPr="007D4BB7">
        <w:rPr>
          <w:rFonts w:hint="eastAsia"/>
          <w:sz w:val="22"/>
          <w:szCs w:val="22"/>
        </w:rPr>
        <w:t>μ</w:t>
      </w:r>
      <w:r w:rsidRPr="007D4BB7">
        <w:rPr>
          <w:rFonts w:hint="eastAsia"/>
          <w:sz w:val="22"/>
          <w:szCs w:val="22"/>
        </w:rPr>
        <w:t xml:space="preserve">g/kg/min) through a peripheral or </w:t>
      </w:r>
      <w:proofErr w:type="spellStart"/>
      <w:r w:rsidRPr="007D4BB7">
        <w:rPr>
          <w:rFonts w:hint="eastAsia"/>
          <w:sz w:val="22"/>
          <w:szCs w:val="22"/>
        </w:rPr>
        <w:t>intraosseous</w:t>
      </w:r>
      <w:proofErr w:type="spellEnd"/>
      <w:r w:rsidRPr="007D4BB7">
        <w:rPr>
          <w:rFonts w:hint="eastAsia"/>
          <w:sz w:val="22"/>
          <w:szCs w:val="22"/>
        </w:rPr>
        <w:t xml:space="preserve"> line. Patients not reaching predefined stabilization criteria after the maximum dose were classified as trea</w:t>
      </w:r>
      <w:r w:rsidRPr="007D4BB7">
        <w:rPr>
          <w:sz w:val="22"/>
          <w:szCs w:val="22"/>
        </w:rPr>
        <w:t>tment failure, at which point the attending physician gradually stopped the study drug and started another catecholamine.</w:t>
      </w:r>
    </w:p>
    <w:p w14:paraId="7D7A3A87" w14:textId="77777777" w:rsidR="00676CC5" w:rsidRPr="007D4BB7" w:rsidRDefault="00676CC5" w:rsidP="00676CC5">
      <w:pPr>
        <w:rPr>
          <w:sz w:val="22"/>
          <w:szCs w:val="22"/>
        </w:rPr>
      </w:pPr>
    </w:p>
    <w:p w14:paraId="55245A48" w14:textId="77777777" w:rsidR="00676CC5" w:rsidRPr="007D4BB7" w:rsidRDefault="00676CC5" w:rsidP="00676CC5">
      <w:pPr>
        <w:rPr>
          <w:sz w:val="22"/>
          <w:szCs w:val="22"/>
        </w:rPr>
      </w:pPr>
      <w:r w:rsidRPr="007D4BB7">
        <w:rPr>
          <w:b/>
          <w:sz w:val="22"/>
          <w:szCs w:val="22"/>
        </w:rPr>
        <w:t>MEASUREMENTS AND MAIN RESULTS:</w:t>
      </w:r>
      <w:r w:rsidRPr="007D4BB7">
        <w:rPr>
          <w:sz w:val="22"/>
          <w:szCs w:val="22"/>
        </w:rPr>
        <w:t xml:space="preserve"> Physiologic and laboratory data were recorded. Baseline characteristics were described as proportions and mean (± SD) and compared using appropriate statistical tests. Multiple regression analysis was performed, and statistical significance was defined as a p value of less than 0.05. Baseline characteristics and therapeutic interventions for the 120 children enrolled (63, dopamine; 57, epinephrine) were similar. There were 17 deaths (14.2%): 13 (20.6%) in the dopamine group and four (7%) in the epinephrine group (p = 0.033). Dopamine was associated with death (odds ratio, 6.5; 95% CI, 1.1-37.8; p = 0.037) and healthcare-associated infection (odds ratio, 67.7; 95% CI, 5.0-910.8; p = 0.001). The use of epinephrine was associated with a survival odds ratio of 6.49.</w:t>
      </w:r>
    </w:p>
    <w:p w14:paraId="6EA86521" w14:textId="77777777" w:rsidR="00676CC5" w:rsidRPr="007D4BB7" w:rsidRDefault="00676CC5" w:rsidP="00676CC5">
      <w:pPr>
        <w:rPr>
          <w:sz w:val="22"/>
          <w:szCs w:val="22"/>
        </w:rPr>
      </w:pPr>
    </w:p>
    <w:p w14:paraId="4D3C8F2F" w14:textId="77777777" w:rsidR="009C411F" w:rsidRPr="007D4BB7" w:rsidRDefault="00676CC5" w:rsidP="00676CC5">
      <w:pPr>
        <w:rPr>
          <w:sz w:val="22"/>
          <w:szCs w:val="22"/>
        </w:rPr>
      </w:pPr>
      <w:r w:rsidRPr="007D4BB7">
        <w:rPr>
          <w:b/>
          <w:sz w:val="22"/>
          <w:szCs w:val="22"/>
        </w:rPr>
        <w:t>CONCLUSIONS:</w:t>
      </w:r>
      <w:r w:rsidRPr="007D4BB7">
        <w:rPr>
          <w:sz w:val="22"/>
          <w:szCs w:val="22"/>
        </w:rPr>
        <w:t xml:space="preserve"> Dopamine was associated with an increased risk of death and healthcare-associated infection. Early administration of peripheral or </w:t>
      </w:r>
      <w:proofErr w:type="spellStart"/>
      <w:r w:rsidRPr="007D4BB7">
        <w:rPr>
          <w:sz w:val="22"/>
          <w:szCs w:val="22"/>
        </w:rPr>
        <w:t>intraosseous</w:t>
      </w:r>
      <w:proofErr w:type="spellEnd"/>
      <w:r w:rsidRPr="007D4BB7">
        <w:rPr>
          <w:sz w:val="22"/>
          <w:szCs w:val="22"/>
        </w:rPr>
        <w:t xml:space="preserve"> epinephrine was associated with increased survival in this population. Limitations should be observed while interpreting these results.</w:t>
      </w:r>
    </w:p>
    <w:p w14:paraId="274DE301" w14:textId="77777777" w:rsidR="007D4BB7" w:rsidRDefault="007D4BB7" w:rsidP="007D4BB7">
      <w:pPr>
        <w:pStyle w:val="Paragraphedeliste"/>
        <w:numPr>
          <w:ilvl w:val="0"/>
          <w:numId w:val="1"/>
        </w:numPr>
      </w:pPr>
      <w:r>
        <w:t xml:space="preserve">Limitations: single-center study (external validity? reproducible?) </w:t>
      </w:r>
    </w:p>
    <w:p w14:paraId="720A6A89" w14:textId="77777777" w:rsidR="007D4BB7" w:rsidRDefault="007D4BB7" w:rsidP="00676CC5"/>
    <w:p w14:paraId="14A60D6C" w14:textId="77777777" w:rsidR="00676CC5" w:rsidRDefault="00676CC5" w:rsidP="00676CC5"/>
    <w:p w14:paraId="415DA141" w14:textId="77777777" w:rsidR="00676CC5" w:rsidRDefault="00676CC5" w:rsidP="00676CC5"/>
    <w:p w14:paraId="40001D38" w14:textId="77777777" w:rsidR="00676CC5" w:rsidRDefault="00676CC5" w:rsidP="00676CC5"/>
    <w:p w14:paraId="5F6DC8AE" w14:textId="77777777" w:rsidR="007D4BB7" w:rsidRDefault="007D4BB7" w:rsidP="00676CC5"/>
    <w:p w14:paraId="11B8A52A" w14:textId="77777777" w:rsidR="007D4BB7" w:rsidRDefault="007D4BB7" w:rsidP="00676CC5"/>
    <w:p w14:paraId="73A4E996" w14:textId="77777777" w:rsidR="007D4BB7" w:rsidRDefault="007D4BB7" w:rsidP="00676CC5"/>
    <w:p w14:paraId="18A21B93" w14:textId="77777777" w:rsidR="007D4BB7" w:rsidRDefault="007D4BB7" w:rsidP="00676CC5"/>
    <w:p w14:paraId="1E08A874" w14:textId="77777777" w:rsidR="007D4BB7" w:rsidRDefault="007D4BB7" w:rsidP="00676CC5"/>
    <w:p w14:paraId="4D3319A5" w14:textId="77777777" w:rsidR="004211C3" w:rsidRDefault="004211C3" w:rsidP="00676CC5"/>
    <w:p w14:paraId="45059821" w14:textId="77777777" w:rsidR="00C262CA" w:rsidRDefault="00C262CA" w:rsidP="00676CC5"/>
    <w:p w14:paraId="3C6BAEED" w14:textId="77777777" w:rsidR="00676CC5" w:rsidRDefault="00676CC5" w:rsidP="00676CC5">
      <w:proofErr w:type="spellStart"/>
      <w:r>
        <w:lastRenderedPageBreak/>
        <w:t>Crit</w:t>
      </w:r>
      <w:proofErr w:type="spellEnd"/>
      <w:r>
        <w:t xml:space="preserve"> Care Med. 2015 Nov;</w:t>
      </w:r>
      <w:r w:rsidR="004211C3">
        <w:t xml:space="preserve"> 43(11)</w:t>
      </w:r>
      <w:proofErr w:type="gramStart"/>
      <w:r w:rsidR="004211C3">
        <w:t>:e490</w:t>
      </w:r>
      <w:proofErr w:type="gramEnd"/>
      <w:r w:rsidR="004211C3">
        <w:t>-8</w:t>
      </w:r>
    </w:p>
    <w:p w14:paraId="0A2287BA" w14:textId="77777777" w:rsidR="00676CC5" w:rsidRDefault="00676CC5" w:rsidP="004211C3">
      <w:r w:rsidRPr="004211C3">
        <w:rPr>
          <w:b/>
        </w:rPr>
        <w:t>Corticosteroid Therapy Benefits Septic Mice With Adrenal Insufficiency But Harms Septic Mic</w:t>
      </w:r>
      <w:r w:rsidR="004211C3">
        <w:rPr>
          <w:b/>
        </w:rPr>
        <w:t>e Without Adrenal Insufficiency</w:t>
      </w:r>
    </w:p>
    <w:p w14:paraId="69BDA4F0" w14:textId="77777777" w:rsidR="004211C3" w:rsidRDefault="004211C3" w:rsidP="004211C3"/>
    <w:p w14:paraId="2B6D7823" w14:textId="77777777" w:rsidR="00676CC5" w:rsidRDefault="004211C3" w:rsidP="00676CC5">
      <w:r w:rsidRPr="001F0E28">
        <w:rPr>
          <w:b/>
        </w:rPr>
        <w:t>OBJECTIVES:</w:t>
      </w:r>
      <w:r>
        <w:t xml:space="preserve"> </w:t>
      </w:r>
      <w:r w:rsidR="00676CC5">
        <w:t xml:space="preserve">Corticosteroid therapy is frequently used in septic patients given the rationale that there is an increased demand for corticosteroid in sepsis, and up to 60% of severe septic patients experience adrenal insufficiency. However, the efficacy of corticosteroid therapy and whether the therapy should be based on the results of adrenal function testing are highly controversial. </w:t>
      </w:r>
      <w:proofErr w:type="gramStart"/>
      <w:r w:rsidR="00676CC5">
        <w:t>The lack of an adrenal insufficiency animal model and our poor understanding of the pathogenesis caused by adrenal insufficiency present significant barriers to address this long-standing clinical issue.</w:t>
      </w:r>
      <w:proofErr w:type="gramEnd"/>
    </w:p>
    <w:p w14:paraId="21A68E3D" w14:textId="77777777" w:rsidR="004211C3" w:rsidRDefault="004211C3" w:rsidP="00676CC5"/>
    <w:p w14:paraId="0DAB847E" w14:textId="77777777" w:rsidR="00676CC5" w:rsidRDefault="00676CC5" w:rsidP="00676CC5">
      <w:r w:rsidRPr="001F0E28">
        <w:rPr>
          <w:b/>
        </w:rPr>
        <w:t>DESIGN:</w:t>
      </w:r>
      <w:r w:rsidR="004211C3">
        <w:t xml:space="preserve"> </w:t>
      </w:r>
      <w:r>
        <w:t>Prospective experimental study.</w:t>
      </w:r>
    </w:p>
    <w:p w14:paraId="08069072" w14:textId="77777777" w:rsidR="004211C3" w:rsidRDefault="004211C3" w:rsidP="00676CC5"/>
    <w:p w14:paraId="7EE02181" w14:textId="77777777" w:rsidR="00676CC5" w:rsidRDefault="00676CC5" w:rsidP="00676CC5">
      <w:r w:rsidRPr="001F0E28">
        <w:rPr>
          <w:b/>
        </w:rPr>
        <w:t>SETTING:</w:t>
      </w:r>
      <w:r w:rsidR="004211C3">
        <w:t xml:space="preserve"> </w:t>
      </w:r>
      <w:r>
        <w:t>University laboratory.</w:t>
      </w:r>
    </w:p>
    <w:p w14:paraId="777245A0" w14:textId="77777777" w:rsidR="004211C3" w:rsidRDefault="004211C3" w:rsidP="00676CC5"/>
    <w:p w14:paraId="75E5FD63" w14:textId="77777777" w:rsidR="00676CC5" w:rsidRDefault="00676CC5" w:rsidP="00676CC5">
      <w:r w:rsidRPr="001F0E28">
        <w:rPr>
          <w:b/>
        </w:rPr>
        <w:t>SUBJECTS:</w:t>
      </w:r>
      <w:r w:rsidR="004211C3" w:rsidRPr="001F0E28">
        <w:rPr>
          <w:b/>
        </w:rPr>
        <w:t xml:space="preserve"> </w:t>
      </w:r>
      <w:r>
        <w:t>Scavenger receptor BI null and adrenal-specific scavenger receptor BI null mice.</w:t>
      </w:r>
    </w:p>
    <w:p w14:paraId="1336BF52" w14:textId="77777777" w:rsidR="004211C3" w:rsidRDefault="004211C3" w:rsidP="00676CC5"/>
    <w:p w14:paraId="3656661C" w14:textId="77777777" w:rsidR="00676CC5" w:rsidRDefault="00676CC5" w:rsidP="00676CC5">
      <w:r w:rsidRPr="001F0E28">
        <w:rPr>
          <w:b/>
        </w:rPr>
        <w:t>INTERVENTIONS:</w:t>
      </w:r>
      <w:r w:rsidR="004211C3">
        <w:t xml:space="preserve"> </w:t>
      </w:r>
      <w:r>
        <w:t xml:space="preserve">Sepsis was induced by </w:t>
      </w:r>
      <w:proofErr w:type="spellStart"/>
      <w:r>
        <w:t>cecal</w:t>
      </w:r>
      <w:proofErr w:type="spellEnd"/>
      <w:r>
        <w:t xml:space="preserve"> ligation and puncture.</w:t>
      </w:r>
    </w:p>
    <w:p w14:paraId="2B98184A" w14:textId="77777777" w:rsidR="004211C3" w:rsidRPr="001F0E28" w:rsidRDefault="004211C3" w:rsidP="00676CC5">
      <w:pPr>
        <w:rPr>
          <w:b/>
        </w:rPr>
      </w:pPr>
    </w:p>
    <w:p w14:paraId="04E899BD" w14:textId="77777777" w:rsidR="00676CC5" w:rsidRDefault="00676CC5" w:rsidP="00676CC5">
      <w:r w:rsidRPr="001F0E28">
        <w:rPr>
          <w:b/>
        </w:rPr>
        <w:t>MEASUREMENTS AND MAIN RESULTS:</w:t>
      </w:r>
      <w:r w:rsidR="004211C3">
        <w:t xml:space="preserve"> </w:t>
      </w:r>
      <w:r>
        <w:t xml:space="preserve">Using scavenger receptor BI mice as the first relative adrenal insufficiency animal model, we found that corticosteroid therapy significantly improved the survival in </w:t>
      </w:r>
      <w:proofErr w:type="spellStart"/>
      <w:r>
        <w:t>cecal</w:t>
      </w:r>
      <w:proofErr w:type="spellEnd"/>
      <w:r>
        <w:t xml:space="preserve"> ligation and puncture-treated scavenger receptor BI mice but causes more septic death in wild-type mice. We identified a corticosteroid cocktail that provides effective protection 18 hours post </w:t>
      </w:r>
      <w:proofErr w:type="spellStart"/>
      <w:r>
        <w:t>cecal</w:t>
      </w:r>
      <w:proofErr w:type="spellEnd"/>
      <w:r>
        <w:t xml:space="preserve"> ligation and puncture; using adrenal-specific scavenger receptor BI mice as an inducible corticosteroid-deficient animal model, we found th</w:t>
      </w:r>
      <w:r>
        <w:rPr>
          <w:rFonts w:hint="eastAsia"/>
        </w:rPr>
        <w:t>at inducible corticosteroid specifically suppresses interleukin-6 production without affecting tumor necrosis factor-</w:t>
      </w:r>
      <w:r>
        <w:rPr>
          <w:rFonts w:hint="eastAsia"/>
        </w:rPr>
        <w:t>α</w:t>
      </w:r>
      <w:r>
        <w:rPr>
          <w:rFonts w:hint="eastAsia"/>
        </w:rPr>
        <w:t>, nitric oxide, and interleukin-10 production. We further found that inducible corticosteroid does not induce peripheral lymphocyte apopto</w:t>
      </w:r>
      <w:r>
        <w:t>sis but promotes phagocytic activity of macrophages and neutrophils.</w:t>
      </w:r>
    </w:p>
    <w:p w14:paraId="6A5EACBE" w14:textId="77777777" w:rsidR="004211C3" w:rsidRDefault="004211C3" w:rsidP="00676CC5"/>
    <w:p w14:paraId="4D15E0FF" w14:textId="77777777" w:rsidR="00676CC5" w:rsidRDefault="00676CC5" w:rsidP="00676CC5">
      <w:r w:rsidRPr="001F0E28">
        <w:rPr>
          <w:b/>
        </w:rPr>
        <w:t>CONCLUSIONS:</w:t>
      </w:r>
      <w:r w:rsidR="004211C3">
        <w:t xml:space="preserve"> </w:t>
      </w:r>
      <w:r>
        <w:t xml:space="preserve">This study demonstrates that corticosteroid treatment benefits mice with adrenal insufficiency but harms mice without adrenal insufficiency. This study also reveals that inducible corticosteroid has both immunosuppressive and </w:t>
      </w:r>
      <w:proofErr w:type="spellStart"/>
      <w:r>
        <w:t>immunopermissive</w:t>
      </w:r>
      <w:proofErr w:type="spellEnd"/>
      <w:r>
        <w:t xml:space="preserve"> properties, suppressing interleukin-6 production, promoting phagocytosis of immune effector cells, but not inducing peripheral lymphocyte apoptosis. These findings support our hypothesis that corticosteroid is an effective therapy for a subgroup of septic patients with adrenal insufficiency but harms septic patients without adrenal insufficiency and encourage further efforts to test this hypothesis in clinic.</w:t>
      </w:r>
    </w:p>
    <w:p w14:paraId="2E54FC00" w14:textId="77777777" w:rsidR="00C262CA" w:rsidRDefault="00C262CA" w:rsidP="00676CC5"/>
    <w:p w14:paraId="0D54670B" w14:textId="59B6D09F" w:rsidR="00C262CA" w:rsidRDefault="00C262CA" w:rsidP="00C262CA">
      <w:pPr>
        <w:pStyle w:val="Paragraphedeliste"/>
        <w:numPr>
          <w:ilvl w:val="0"/>
          <w:numId w:val="1"/>
        </w:numPr>
      </w:pPr>
      <w:r>
        <w:t>Cocktail: hydrocortisone, methylprednisolone, fludrocortisone</w:t>
      </w:r>
    </w:p>
    <w:p w14:paraId="4092C5B0" w14:textId="11EA4168" w:rsidR="00C262CA" w:rsidRDefault="00C262CA" w:rsidP="00C262CA">
      <w:pPr>
        <w:pStyle w:val="Paragraphedeliste"/>
        <w:numPr>
          <w:ilvl w:val="0"/>
          <w:numId w:val="1"/>
        </w:numPr>
      </w:pPr>
      <w:r>
        <w:t>SR-BI: HDL recep</w:t>
      </w:r>
      <w:bookmarkStart w:id="0" w:name="_GoBack"/>
      <w:bookmarkEnd w:id="0"/>
      <w:r>
        <w:t xml:space="preserve">tor for reverse cholesterol transport </w:t>
      </w:r>
    </w:p>
    <w:sectPr w:rsidR="00C262CA" w:rsidSect="00C262CA">
      <w:pgSz w:w="12240" w:h="15840"/>
      <w:pgMar w:top="1135"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E833FC"/>
    <w:multiLevelType w:val="hybridMultilevel"/>
    <w:tmpl w:val="F4005E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CC5"/>
    <w:rsid w:val="001F0E28"/>
    <w:rsid w:val="002A7EF6"/>
    <w:rsid w:val="002C4D29"/>
    <w:rsid w:val="004211C3"/>
    <w:rsid w:val="00437961"/>
    <w:rsid w:val="00676CC5"/>
    <w:rsid w:val="007D4BB7"/>
    <w:rsid w:val="009C411F"/>
    <w:rsid w:val="00C262C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203AE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D4BB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D4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468939">
      <w:bodyDiv w:val="1"/>
      <w:marLeft w:val="0"/>
      <w:marRight w:val="0"/>
      <w:marTop w:val="0"/>
      <w:marBottom w:val="0"/>
      <w:divBdr>
        <w:top w:val="none" w:sz="0" w:space="0" w:color="auto"/>
        <w:left w:val="none" w:sz="0" w:space="0" w:color="auto"/>
        <w:bottom w:val="none" w:sz="0" w:space="0" w:color="auto"/>
        <w:right w:val="none" w:sz="0" w:space="0" w:color="auto"/>
      </w:divBdr>
      <w:divsChild>
        <w:div w:id="1394622974">
          <w:marLeft w:val="0"/>
          <w:marRight w:val="0"/>
          <w:marTop w:val="0"/>
          <w:marBottom w:val="0"/>
          <w:divBdr>
            <w:top w:val="none" w:sz="0" w:space="0" w:color="auto"/>
            <w:left w:val="none" w:sz="0" w:space="0" w:color="auto"/>
            <w:bottom w:val="none" w:sz="0" w:space="0" w:color="auto"/>
            <w:right w:val="none" w:sz="0" w:space="0" w:color="auto"/>
          </w:divBdr>
        </w:div>
        <w:div w:id="1512527691">
          <w:marLeft w:val="0"/>
          <w:marRight w:val="0"/>
          <w:marTop w:val="0"/>
          <w:marBottom w:val="0"/>
          <w:divBdr>
            <w:top w:val="none" w:sz="0" w:space="0" w:color="auto"/>
            <w:left w:val="none" w:sz="0" w:space="0" w:color="auto"/>
            <w:bottom w:val="none" w:sz="0" w:space="0" w:color="auto"/>
            <w:right w:val="none" w:sz="0" w:space="0" w:color="auto"/>
          </w:divBdr>
        </w:div>
        <w:div w:id="2122450303">
          <w:marLeft w:val="0"/>
          <w:marRight w:val="0"/>
          <w:marTop w:val="0"/>
          <w:marBottom w:val="0"/>
          <w:divBdr>
            <w:top w:val="none" w:sz="0" w:space="0" w:color="auto"/>
            <w:left w:val="none" w:sz="0" w:space="0" w:color="auto"/>
            <w:bottom w:val="none" w:sz="0" w:space="0" w:color="auto"/>
            <w:right w:val="none" w:sz="0" w:space="0" w:color="auto"/>
          </w:divBdr>
        </w:div>
        <w:div w:id="1839614284">
          <w:marLeft w:val="0"/>
          <w:marRight w:val="0"/>
          <w:marTop w:val="0"/>
          <w:marBottom w:val="0"/>
          <w:divBdr>
            <w:top w:val="none" w:sz="0" w:space="0" w:color="auto"/>
            <w:left w:val="none" w:sz="0" w:space="0" w:color="auto"/>
            <w:bottom w:val="none" w:sz="0" w:space="0" w:color="auto"/>
            <w:right w:val="none" w:sz="0" w:space="0" w:color="auto"/>
          </w:divBdr>
          <w:divsChild>
            <w:div w:id="148389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289582">
      <w:bodyDiv w:val="1"/>
      <w:marLeft w:val="0"/>
      <w:marRight w:val="0"/>
      <w:marTop w:val="0"/>
      <w:marBottom w:val="0"/>
      <w:divBdr>
        <w:top w:val="none" w:sz="0" w:space="0" w:color="auto"/>
        <w:left w:val="none" w:sz="0" w:space="0" w:color="auto"/>
        <w:bottom w:val="none" w:sz="0" w:space="0" w:color="auto"/>
        <w:right w:val="none" w:sz="0" w:space="0" w:color="auto"/>
      </w:divBdr>
      <w:divsChild>
        <w:div w:id="49961360">
          <w:marLeft w:val="0"/>
          <w:marRight w:val="0"/>
          <w:marTop w:val="0"/>
          <w:marBottom w:val="0"/>
          <w:divBdr>
            <w:top w:val="none" w:sz="0" w:space="0" w:color="auto"/>
            <w:left w:val="none" w:sz="0" w:space="0" w:color="auto"/>
            <w:bottom w:val="none" w:sz="0" w:space="0" w:color="auto"/>
            <w:right w:val="none" w:sz="0" w:space="0" w:color="auto"/>
          </w:divBdr>
        </w:div>
        <w:div w:id="212693579">
          <w:marLeft w:val="0"/>
          <w:marRight w:val="0"/>
          <w:marTop w:val="0"/>
          <w:marBottom w:val="0"/>
          <w:divBdr>
            <w:top w:val="none" w:sz="0" w:space="0" w:color="auto"/>
            <w:left w:val="none" w:sz="0" w:space="0" w:color="auto"/>
            <w:bottom w:val="none" w:sz="0" w:space="0" w:color="auto"/>
            <w:right w:val="none" w:sz="0" w:space="0" w:color="auto"/>
          </w:divBdr>
        </w:div>
        <w:div w:id="1441728711">
          <w:marLeft w:val="0"/>
          <w:marRight w:val="0"/>
          <w:marTop w:val="0"/>
          <w:marBottom w:val="0"/>
          <w:divBdr>
            <w:top w:val="none" w:sz="0" w:space="0" w:color="auto"/>
            <w:left w:val="none" w:sz="0" w:space="0" w:color="auto"/>
            <w:bottom w:val="none" w:sz="0" w:space="0" w:color="auto"/>
            <w:right w:val="none" w:sz="0" w:space="0" w:color="auto"/>
          </w:divBdr>
        </w:div>
        <w:div w:id="269052884">
          <w:marLeft w:val="0"/>
          <w:marRight w:val="0"/>
          <w:marTop w:val="0"/>
          <w:marBottom w:val="0"/>
          <w:divBdr>
            <w:top w:val="none" w:sz="0" w:space="0" w:color="auto"/>
            <w:left w:val="none" w:sz="0" w:space="0" w:color="auto"/>
            <w:bottom w:val="none" w:sz="0" w:space="0" w:color="auto"/>
            <w:right w:val="none" w:sz="0" w:space="0" w:color="auto"/>
          </w:divBdr>
          <w:divsChild>
            <w:div w:id="116774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803</Words>
  <Characters>4421</Characters>
  <Application>Microsoft Macintosh Word</Application>
  <DocSecurity>0</DocSecurity>
  <Lines>36</Lines>
  <Paragraphs>10</Paragraphs>
  <ScaleCrop>false</ScaleCrop>
  <Company/>
  <LinksUpToDate>false</LinksUpToDate>
  <CharactersWithSpaces>5214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2</cp:revision>
  <dcterms:created xsi:type="dcterms:W3CDTF">2015-11-03T23:32:00Z</dcterms:created>
  <dcterms:modified xsi:type="dcterms:W3CDTF">2015-11-03T23:32:00Z</dcterms:modified>
</cp:coreProperties>
</file>