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43E" w:rsidRDefault="00326B66">
      <w:proofErr w:type="spellStart"/>
      <w:r>
        <w:t>Coxofemoral</w:t>
      </w:r>
      <w:proofErr w:type="spellEnd"/>
      <w:r>
        <w:t xml:space="preserve"> luxation</w:t>
      </w:r>
    </w:p>
    <w:p w:rsidR="00326B66" w:rsidRDefault="00326B66" w:rsidP="00A0768D">
      <w:pPr>
        <w:pStyle w:val="ListParagraph"/>
        <w:numPr>
          <w:ilvl w:val="0"/>
          <w:numId w:val="1"/>
        </w:numPr>
      </w:pPr>
      <w:r w:rsidRPr="00326B66">
        <w:t>Primary stabilizers of the hip joint include the</w:t>
      </w:r>
      <w:r>
        <w:t xml:space="preserve"> </w:t>
      </w:r>
      <w:r w:rsidRPr="00326B66">
        <w:t>ligament of the head of the femur, which extends from the</w:t>
      </w:r>
      <w:r>
        <w:t xml:space="preserve"> </w:t>
      </w:r>
      <w:r w:rsidRPr="00326B66">
        <w:t>fovea capitis in the femoral head to the acetabular fossa;</w:t>
      </w:r>
      <w:r>
        <w:t xml:space="preserve"> </w:t>
      </w:r>
      <w:r w:rsidRPr="00326B66">
        <w:t>the joint capsule, which attac</w:t>
      </w:r>
      <w:r>
        <w:t xml:space="preserve">hes medially near the acetabular </w:t>
      </w:r>
      <w:r w:rsidRPr="00326B66">
        <w:t>rim and laterally on the femoral neck; and the dorsal acetabular</w:t>
      </w:r>
      <w:r>
        <w:t xml:space="preserve"> </w:t>
      </w:r>
      <w:r w:rsidRPr="00326B66">
        <w:t>rim</w:t>
      </w:r>
    </w:p>
    <w:p w:rsidR="00326B66" w:rsidRDefault="00326B66" w:rsidP="003241C3">
      <w:pPr>
        <w:pStyle w:val="ListParagraph"/>
        <w:numPr>
          <w:ilvl w:val="0"/>
          <w:numId w:val="1"/>
        </w:numPr>
      </w:pPr>
      <w:proofErr w:type="spellStart"/>
      <w:r>
        <w:t>Coxofemoral</w:t>
      </w:r>
      <w:proofErr w:type="spellEnd"/>
      <w:r>
        <w:t xml:space="preserve"> luxation is common in dogs and cats, accounting for up to 90% of all joint </w:t>
      </w:r>
      <w:proofErr w:type="spellStart"/>
      <w:r>
        <w:t>luxations</w:t>
      </w:r>
      <w:proofErr w:type="spellEnd"/>
    </w:p>
    <w:p w:rsidR="00326B66" w:rsidRDefault="00326B66" w:rsidP="00551BBF">
      <w:pPr>
        <w:pStyle w:val="ListParagraph"/>
        <w:numPr>
          <w:ilvl w:val="0"/>
          <w:numId w:val="1"/>
        </w:numPr>
      </w:pPr>
      <w:r>
        <w:t xml:space="preserve">Vehicular trauma is the cause of up to 85% of </w:t>
      </w:r>
      <w:proofErr w:type="spellStart"/>
      <w:r>
        <w:t>coxofemoral</w:t>
      </w:r>
      <w:proofErr w:type="spellEnd"/>
      <w:r>
        <w:t xml:space="preserve"> </w:t>
      </w:r>
      <w:proofErr w:type="spellStart"/>
      <w:r>
        <w:t>luxations</w:t>
      </w:r>
      <w:proofErr w:type="spellEnd"/>
      <w:r>
        <w:t xml:space="preserve"> reported in the literature</w:t>
      </w:r>
    </w:p>
    <w:p w:rsidR="00326B66" w:rsidRDefault="00902593" w:rsidP="009C77A8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9EBE62" wp14:editId="2EFA94C3">
            <wp:simplePos x="0" y="0"/>
            <wp:positionH relativeFrom="column">
              <wp:posOffset>2057400</wp:posOffset>
            </wp:positionH>
            <wp:positionV relativeFrom="paragraph">
              <wp:posOffset>165735</wp:posOffset>
            </wp:positionV>
            <wp:extent cx="4713605" cy="275209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605" cy="275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6B66">
        <w:t>Other reported causes include severe hip dysplasia, falls, spontaneous luxation, and unknown trauma</w:t>
      </w:r>
    </w:p>
    <w:p w:rsidR="00326B66" w:rsidRDefault="00326B66" w:rsidP="009C77A8">
      <w:pPr>
        <w:pStyle w:val="ListParagraph"/>
        <w:numPr>
          <w:ilvl w:val="0"/>
          <w:numId w:val="1"/>
        </w:numPr>
      </w:pPr>
      <w:r>
        <w:t xml:space="preserve">75% of </w:t>
      </w:r>
      <w:proofErr w:type="spellStart"/>
      <w:r>
        <w:t>luxations</w:t>
      </w:r>
      <w:proofErr w:type="spellEnd"/>
      <w:r>
        <w:t xml:space="preserve"> are craniodorsal</w:t>
      </w:r>
    </w:p>
    <w:p w:rsidR="00326B66" w:rsidRDefault="00326B66" w:rsidP="007949FB">
      <w:pPr>
        <w:pStyle w:val="ListParagraph"/>
        <w:numPr>
          <w:ilvl w:val="0"/>
          <w:numId w:val="1"/>
        </w:numPr>
      </w:pPr>
      <w:r>
        <w:t xml:space="preserve">Ventral and caudal </w:t>
      </w:r>
      <w:proofErr w:type="spellStart"/>
      <w:r>
        <w:t>luxations</w:t>
      </w:r>
      <w:proofErr w:type="spellEnd"/>
      <w:r>
        <w:t xml:space="preserve"> occur less frequently and may be associated with concurrent avulsion fracture of the greater trochanter</w:t>
      </w:r>
    </w:p>
    <w:p w:rsidR="00902593" w:rsidRDefault="00902593" w:rsidP="0085796E">
      <w:pPr>
        <w:pStyle w:val="ListParagraph"/>
        <w:numPr>
          <w:ilvl w:val="0"/>
          <w:numId w:val="1"/>
        </w:numPr>
      </w:pPr>
      <w:r w:rsidRPr="00902593">
        <w:t>Joint reduction should be performed soon after injury to</w:t>
      </w:r>
      <w:r>
        <w:t xml:space="preserve"> </w:t>
      </w:r>
      <w:r w:rsidRPr="00902593">
        <w:t>minimize destruction of cartilage, and before muscle spasticity</w:t>
      </w:r>
      <w:r>
        <w:t xml:space="preserve"> </w:t>
      </w:r>
      <w:r w:rsidRPr="00902593">
        <w:t>and f</w:t>
      </w:r>
      <w:r>
        <w:t>ibrosis prevent easy relocation</w:t>
      </w:r>
    </w:p>
    <w:p w:rsidR="00902593" w:rsidRDefault="00902593" w:rsidP="003D72C3">
      <w:pPr>
        <w:pStyle w:val="ListParagraph"/>
        <w:numPr>
          <w:ilvl w:val="0"/>
          <w:numId w:val="1"/>
        </w:numPr>
      </w:pPr>
      <w:r>
        <w:t xml:space="preserve">Initial open reduction is indicated if acetabular or femoral head fractures are present, the joint </w:t>
      </w:r>
      <w:proofErr w:type="spellStart"/>
      <w:r>
        <w:t>reluxates</w:t>
      </w:r>
      <w:proofErr w:type="spellEnd"/>
      <w:r>
        <w:t xml:space="preserve"> after radiographically confirmed closed reduction, concurrent injuries require immediate return of hip function, or the luxation is chronic and visual evaluation of the cartilage is necessary</w:t>
      </w:r>
    </w:p>
    <w:p w:rsidR="00902593" w:rsidRDefault="00902593" w:rsidP="003D72C3">
      <w:pPr>
        <w:pStyle w:val="ListParagraph"/>
        <w:numPr>
          <w:ilvl w:val="0"/>
          <w:numId w:val="1"/>
        </w:numPr>
      </w:pPr>
      <w:r>
        <w:t>How to replace</w:t>
      </w:r>
    </w:p>
    <w:p w:rsidR="00902593" w:rsidRDefault="00902593" w:rsidP="00902593">
      <w:pPr>
        <w:pStyle w:val="ListParagraph"/>
        <w:numPr>
          <w:ilvl w:val="0"/>
          <w:numId w:val="3"/>
        </w:numPr>
      </w:pPr>
      <w:r>
        <w:t>Place under general anesthesia</w:t>
      </w:r>
    </w:p>
    <w:p w:rsidR="00902593" w:rsidRDefault="00902593" w:rsidP="000D41E5">
      <w:pPr>
        <w:pStyle w:val="ListParagraph"/>
        <w:numPr>
          <w:ilvl w:val="0"/>
          <w:numId w:val="3"/>
        </w:numPr>
      </w:pPr>
      <w:r>
        <w:t xml:space="preserve">An assistant places a small towel or rope in the patient’s inguinal area to provide </w:t>
      </w:r>
      <w:proofErr w:type="spellStart"/>
      <w:r>
        <w:t>countertraction</w:t>
      </w:r>
      <w:proofErr w:type="spellEnd"/>
      <w:r>
        <w:t xml:space="preserve"> and to stabilize the pelvis during reduction</w:t>
      </w:r>
    </w:p>
    <w:p w:rsidR="00902593" w:rsidRDefault="00902593" w:rsidP="001F75B4">
      <w:pPr>
        <w:pStyle w:val="ListParagraph"/>
        <w:numPr>
          <w:ilvl w:val="0"/>
          <w:numId w:val="3"/>
        </w:numPr>
      </w:pPr>
      <w:r>
        <w:t>The femoral head is disengaged from the dorsal acetabular rim by grasping the hock and stifle and externally rotating the limb</w:t>
      </w:r>
    </w:p>
    <w:p w:rsidR="00902593" w:rsidRDefault="00902593" w:rsidP="00B425FC">
      <w:pPr>
        <w:pStyle w:val="ListParagraph"/>
        <w:numPr>
          <w:ilvl w:val="0"/>
          <w:numId w:val="3"/>
        </w:numPr>
      </w:pPr>
      <w:r>
        <w:t xml:space="preserve">Traction is then applied to the limb in a </w:t>
      </w:r>
      <w:proofErr w:type="spellStart"/>
      <w:r>
        <w:t>distocaudal</w:t>
      </w:r>
      <w:proofErr w:type="spellEnd"/>
      <w:r>
        <w:t xml:space="preserve"> direction to align the femoral head over the acetabulum</w:t>
      </w:r>
    </w:p>
    <w:p w:rsidR="00902593" w:rsidRDefault="00902593" w:rsidP="00902593">
      <w:pPr>
        <w:pStyle w:val="ListParagraph"/>
        <w:numPr>
          <w:ilvl w:val="0"/>
          <w:numId w:val="3"/>
        </w:numPr>
      </w:pPr>
      <w:r w:rsidRPr="00902593">
        <w:t>The limb is internally rotated and abducted</w:t>
      </w:r>
      <w:r>
        <w:t xml:space="preserve"> to seat the femoral head into the acetabulum</w:t>
      </w:r>
    </w:p>
    <w:p w:rsidR="00902593" w:rsidRDefault="00902593" w:rsidP="00FF3339">
      <w:pPr>
        <w:pStyle w:val="ListParagraph"/>
        <w:numPr>
          <w:ilvl w:val="0"/>
          <w:numId w:val="3"/>
        </w:numPr>
      </w:pPr>
      <w:r>
        <w:t>Digital pressure applied to the greater trochanter may be helpful in directing the femoral head into the acetabulum</w:t>
      </w:r>
    </w:p>
    <w:p w:rsidR="00902593" w:rsidRDefault="00902593" w:rsidP="00902593">
      <w:r>
        <w:t>Open Wounds</w:t>
      </w:r>
    </w:p>
    <w:p w:rsidR="00D25C82" w:rsidRDefault="00902593" w:rsidP="00902593">
      <w:pPr>
        <w:pStyle w:val="ListParagraph"/>
        <w:numPr>
          <w:ilvl w:val="0"/>
          <w:numId w:val="1"/>
        </w:numPr>
      </w:pPr>
      <w:r>
        <w:t>Contamination is the presence of microbes on a surface</w:t>
      </w:r>
    </w:p>
    <w:p w:rsidR="00D25C82" w:rsidRDefault="00D25C82" w:rsidP="00F91AC4">
      <w:pPr>
        <w:pStyle w:val="ListParagraph"/>
        <w:numPr>
          <w:ilvl w:val="0"/>
          <w:numId w:val="1"/>
        </w:numPr>
      </w:pPr>
      <w:r>
        <w:t>C</w:t>
      </w:r>
      <w:r w:rsidR="00902593">
        <w:t>olonization i</w:t>
      </w:r>
      <w:r>
        <w:t>s</w:t>
      </w:r>
      <w:r w:rsidR="00902593">
        <w:t xml:space="preserve"> wh</w:t>
      </w:r>
      <w:r>
        <w:t>en</w:t>
      </w:r>
      <w:r w:rsidR="00902593">
        <w:t xml:space="preserve"> surface microorganisms</w:t>
      </w:r>
      <w:r>
        <w:t xml:space="preserve"> </w:t>
      </w:r>
      <w:r w:rsidR="00902593">
        <w:t>are replicating</w:t>
      </w:r>
    </w:p>
    <w:p w:rsidR="00902593" w:rsidRDefault="00D25C82" w:rsidP="006051F8">
      <w:pPr>
        <w:pStyle w:val="ListParagraph"/>
        <w:numPr>
          <w:ilvl w:val="0"/>
          <w:numId w:val="1"/>
        </w:numPr>
      </w:pPr>
      <w:r>
        <w:t>I</w:t>
      </w:r>
      <w:r w:rsidR="00902593">
        <w:t>nfection</w:t>
      </w:r>
      <w:r>
        <w:t xml:space="preserve"> </w:t>
      </w:r>
      <w:r w:rsidR="00902593">
        <w:t>in wh</w:t>
      </w:r>
      <w:r>
        <w:t>en</w:t>
      </w:r>
      <w:r w:rsidR="00902593">
        <w:t xml:space="preserve"> there is invasion and replication of microbes within</w:t>
      </w:r>
      <w:r>
        <w:t xml:space="preserve"> </w:t>
      </w:r>
      <w:r w:rsidR="00902593">
        <w:t>the tissue</w:t>
      </w:r>
    </w:p>
    <w:p w:rsidR="00D25C82" w:rsidRDefault="00D25C82" w:rsidP="00407126">
      <w:pPr>
        <w:pStyle w:val="ListParagraph"/>
        <w:numPr>
          <w:ilvl w:val="0"/>
          <w:numId w:val="1"/>
        </w:numPr>
      </w:pPr>
      <w:r>
        <w:t>A burden of 10</w:t>
      </w:r>
      <w:r w:rsidRPr="00D25C82">
        <w:rPr>
          <w:vertAlign w:val="superscript"/>
        </w:rPr>
        <w:t>5</w:t>
      </w:r>
      <w:r>
        <w:t xml:space="preserve"> colony-forming units (CFU) per gram of tissue has long been considered the threshold for development of infection, with the time frame required for this to occur being 6 hours or more</w:t>
      </w:r>
    </w:p>
    <w:p w:rsidR="00B478E4" w:rsidRDefault="00B478E4" w:rsidP="0079494E">
      <w:pPr>
        <w:pStyle w:val="ListParagraph"/>
        <w:numPr>
          <w:ilvl w:val="0"/>
          <w:numId w:val="1"/>
        </w:numPr>
      </w:pPr>
      <w:r>
        <w:t>A class 1 wound is 0 to 6 hours old and has minimal contamination and tissue trauma</w:t>
      </w:r>
    </w:p>
    <w:p w:rsidR="00B478E4" w:rsidRDefault="00B478E4" w:rsidP="005F216C">
      <w:pPr>
        <w:pStyle w:val="ListParagraph"/>
        <w:numPr>
          <w:ilvl w:val="0"/>
          <w:numId w:val="1"/>
        </w:numPr>
      </w:pPr>
      <w:r>
        <w:t>A class 2 wound is 6 to 12 hours old, at which time replication of microorganisms has occurred</w:t>
      </w:r>
    </w:p>
    <w:p w:rsidR="00B478E4" w:rsidRDefault="00B478E4" w:rsidP="0002254E">
      <w:pPr>
        <w:pStyle w:val="ListParagraph"/>
        <w:numPr>
          <w:ilvl w:val="0"/>
          <w:numId w:val="1"/>
        </w:numPr>
      </w:pPr>
      <w:r>
        <w:t>A class 3 wound is older than 12 hours; microbial replication may have reached the critical level consistent with the development of infection</w:t>
      </w:r>
    </w:p>
    <w:p w:rsidR="00B478E4" w:rsidRDefault="00B478E4" w:rsidP="00B478E4">
      <w:pPr>
        <w:pStyle w:val="ListParagraph"/>
      </w:pPr>
    </w:p>
    <w:p w:rsidR="00D25C82" w:rsidRDefault="00D25C82" w:rsidP="00D25C82">
      <w:r>
        <w:lastRenderedPageBreak/>
        <w:t>Primary Wound Closure</w:t>
      </w:r>
    </w:p>
    <w:p w:rsidR="00D25C82" w:rsidRDefault="00D25C82" w:rsidP="00284B5A">
      <w:pPr>
        <w:pStyle w:val="ListParagraph"/>
        <w:numPr>
          <w:ilvl w:val="0"/>
          <w:numId w:val="1"/>
        </w:numPr>
      </w:pPr>
      <w:r>
        <w:t xml:space="preserve">With primary wound closure, wound edges are </w:t>
      </w:r>
      <w:proofErr w:type="spellStart"/>
      <w:r>
        <w:t>apposed</w:t>
      </w:r>
      <w:proofErr w:type="spellEnd"/>
      <w:r>
        <w:t xml:space="preserve"> and allowed to heal by first intention</w:t>
      </w:r>
    </w:p>
    <w:p w:rsidR="00D25C82" w:rsidRDefault="00D25C82" w:rsidP="002E55AE">
      <w:pPr>
        <w:pStyle w:val="ListParagraph"/>
        <w:numPr>
          <w:ilvl w:val="0"/>
          <w:numId w:val="1"/>
        </w:numPr>
      </w:pPr>
      <w:r>
        <w:t>Primary closure occurs in most surgical wounds and is indicated in clean, sharply incised wounds that have minimal trauma and contamination and are seen within hours of injury.</w:t>
      </w:r>
    </w:p>
    <w:p w:rsidR="00D25C82" w:rsidRDefault="00D25C82" w:rsidP="0083211C">
      <w:pPr>
        <w:pStyle w:val="ListParagraph"/>
        <w:numPr>
          <w:ilvl w:val="0"/>
          <w:numId w:val="1"/>
        </w:numPr>
      </w:pPr>
      <w:r>
        <w:t xml:space="preserve">Historically, class 1 wounds were considered amenable to primary closure. </w:t>
      </w:r>
    </w:p>
    <w:p w:rsidR="00D25C82" w:rsidRDefault="00D25C82" w:rsidP="008A6773">
      <w:pPr>
        <w:pStyle w:val="ListParagraph"/>
        <w:numPr>
          <w:ilvl w:val="0"/>
          <w:numId w:val="1"/>
        </w:numPr>
      </w:pPr>
      <w:r>
        <w:t>Class 2 wounds can be closed primarily if the amount of wound contamination and tissue trauma is minimal and can be managed at the time of closure</w:t>
      </w:r>
    </w:p>
    <w:p w:rsidR="00D25C82" w:rsidRDefault="00D25C82" w:rsidP="00D25C82">
      <w:r>
        <w:t>Delayed primary Closure</w:t>
      </w:r>
    </w:p>
    <w:p w:rsidR="00D25C82" w:rsidRDefault="00B478E4" w:rsidP="00882D92">
      <w:pPr>
        <w:pStyle w:val="ListParagraph"/>
        <w:numPr>
          <w:ilvl w:val="0"/>
          <w:numId w:val="1"/>
        </w:numPr>
      </w:pPr>
      <w:r>
        <w:t>Delayed primary wound closure describes appositional closure within 3 to 5 days after wounding but before granulation tissue has been produced in the wound bed</w:t>
      </w:r>
    </w:p>
    <w:p w:rsidR="00B478E4" w:rsidRDefault="00B478E4" w:rsidP="0035536D">
      <w:pPr>
        <w:pStyle w:val="ListParagraph"/>
        <w:numPr>
          <w:ilvl w:val="0"/>
          <w:numId w:val="1"/>
        </w:numPr>
      </w:pPr>
      <w:r>
        <w:t>This is indicated for mildly contaminated, minimally traumatized wounds that require some cleansing, debridement, and open wound management before closure.</w:t>
      </w:r>
    </w:p>
    <w:p w:rsidR="00B478E4" w:rsidRDefault="00B478E4" w:rsidP="00B478E4">
      <w:pPr>
        <w:pStyle w:val="ListParagraph"/>
        <w:numPr>
          <w:ilvl w:val="0"/>
          <w:numId w:val="1"/>
        </w:numPr>
      </w:pPr>
      <w:r w:rsidRPr="00B478E4">
        <w:t>Class 2 wounds can be managed with delayed primary closure</w:t>
      </w:r>
    </w:p>
    <w:p w:rsidR="00B478E4" w:rsidRDefault="00B478E4" w:rsidP="00B478E4">
      <w:r w:rsidRPr="00B478E4">
        <w:t>Healing by Contraction and Epithelialization</w:t>
      </w:r>
    </w:p>
    <w:p w:rsidR="00B478E4" w:rsidRDefault="00B478E4" w:rsidP="005B689A">
      <w:pPr>
        <w:pStyle w:val="ListParagraph"/>
        <w:numPr>
          <w:ilvl w:val="0"/>
          <w:numId w:val="1"/>
        </w:numPr>
      </w:pPr>
      <w:r>
        <w:t>Second intention healing occurs when a wound is left to heal by contraction and epithelialization, eventually producing a continuous epithelial surface</w:t>
      </w:r>
    </w:p>
    <w:p w:rsidR="00B478E4" w:rsidRDefault="00B478E4" w:rsidP="00107FE8">
      <w:pPr>
        <w:pStyle w:val="ListParagraph"/>
        <w:numPr>
          <w:ilvl w:val="0"/>
          <w:numId w:val="1"/>
        </w:numPr>
      </w:pPr>
      <w:r>
        <w:t>Open wound management that relies on second intention healing is indicated for dirty, contaminated, traumatized wounds in which cleansing and debridement is necessary but primary or delayed closure is prohibited</w:t>
      </w:r>
    </w:p>
    <w:p w:rsidR="00B478E4" w:rsidRDefault="00B478E4" w:rsidP="00B478E4">
      <w:r w:rsidRPr="00B478E4">
        <w:t>Secondary Closure</w:t>
      </w:r>
    </w:p>
    <w:p w:rsidR="00B478E4" w:rsidRDefault="00B478E4" w:rsidP="00AE43AA">
      <w:pPr>
        <w:pStyle w:val="ListParagraph"/>
        <w:numPr>
          <w:ilvl w:val="0"/>
          <w:numId w:val="1"/>
        </w:numPr>
      </w:pPr>
      <w:r>
        <w:t>Secondary closure describes appositional closure of a wound more than 3 to 5 days after wounding, by which time granulation tissue has formed in the wound bed</w:t>
      </w:r>
    </w:p>
    <w:p w:rsidR="00B478E4" w:rsidRDefault="006A1E92" w:rsidP="00A94B3B">
      <w:pPr>
        <w:pStyle w:val="ListParagraph"/>
        <w:numPr>
          <w:ilvl w:val="0"/>
          <w:numId w:val="1"/>
        </w:numPr>
      </w:pPr>
      <w:r w:rsidRPr="006A1E92">
        <w:t>Secondary closure is indicated</w:t>
      </w:r>
      <w:r>
        <w:t xml:space="preserve"> </w:t>
      </w:r>
      <w:r w:rsidRPr="006A1E92">
        <w:t>for severely contaminated, traumatized wounds in which</w:t>
      </w:r>
      <w:r>
        <w:t xml:space="preserve"> </w:t>
      </w:r>
      <w:r w:rsidRPr="006A1E92">
        <w:t>ongoing open wound management allows manipulation of the</w:t>
      </w:r>
      <w:r>
        <w:t xml:space="preserve"> </w:t>
      </w:r>
      <w:r w:rsidRPr="006A1E92">
        <w:t>wound environment to ensure reduction of microbial contamination,</w:t>
      </w:r>
      <w:r>
        <w:t xml:space="preserve"> </w:t>
      </w:r>
      <w:r w:rsidRPr="006A1E92">
        <w:t>treatment of infection if present, and improvement</w:t>
      </w:r>
      <w:r>
        <w:t xml:space="preserve"> </w:t>
      </w:r>
      <w:r w:rsidRPr="006A1E92">
        <w:t>in tissue health before closure</w:t>
      </w:r>
    </w:p>
    <w:p w:rsidR="006A1E92" w:rsidRDefault="006A1E92" w:rsidP="006A1E92">
      <w:r>
        <w:t>Irrigation Solution</w:t>
      </w:r>
    </w:p>
    <w:p w:rsidR="006A1E92" w:rsidRDefault="006A1E92" w:rsidP="006A1E92">
      <w:pPr>
        <w:pStyle w:val="ListParagraph"/>
        <w:numPr>
          <w:ilvl w:val="0"/>
          <w:numId w:val="1"/>
        </w:numPr>
      </w:pPr>
      <w:r>
        <w:t>Tap water is as good if not better than sterile saline for irrigating wounds</w:t>
      </w:r>
    </w:p>
    <w:p w:rsidR="006A1E92" w:rsidRDefault="006A1E92" w:rsidP="00423A87">
      <w:pPr>
        <w:pStyle w:val="ListParagraph"/>
        <w:numPr>
          <w:ilvl w:val="0"/>
          <w:numId w:val="1"/>
        </w:numPr>
      </w:pPr>
      <w:r>
        <w:t>Low-pressure (&lt;5 psi), high-volume irrigation can be generated</w:t>
      </w:r>
      <w:r>
        <w:t xml:space="preserve"> </w:t>
      </w:r>
      <w:r>
        <w:t>by devices such as a single-lumen port-type device</w:t>
      </w:r>
      <w:r>
        <w:t xml:space="preserve"> </w:t>
      </w:r>
      <w:r>
        <w:t>spiked into a fluid bag</w:t>
      </w:r>
    </w:p>
    <w:p w:rsidR="006A1E92" w:rsidRDefault="006A1E92" w:rsidP="00990231">
      <w:pPr>
        <w:pStyle w:val="ListParagraph"/>
        <w:numPr>
          <w:ilvl w:val="0"/>
          <w:numId w:val="1"/>
        </w:numPr>
      </w:pPr>
      <w:r>
        <w:t>High-pressure irrigation is above 5 to</w:t>
      </w:r>
      <w:r>
        <w:t xml:space="preserve"> </w:t>
      </w:r>
      <w:r>
        <w:t>8 psi; an 18- to 19-gauge needle on a 35-mL syringe can</w:t>
      </w:r>
      <w:r>
        <w:t xml:space="preserve"> </w:t>
      </w:r>
      <w:r>
        <w:t>generate 7 to 8 psi.</w:t>
      </w:r>
    </w:p>
    <w:p w:rsidR="006A1E92" w:rsidRDefault="006A1E92" w:rsidP="006A1E92">
      <w:r>
        <w:t>Antimicrobials</w:t>
      </w:r>
    </w:p>
    <w:p w:rsidR="006A1E92" w:rsidRDefault="006A1E92" w:rsidP="005464FF">
      <w:pPr>
        <w:pStyle w:val="ListParagraph"/>
        <w:numPr>
          <w:ilvl w:val="0"/>
          <w:numId w:val="1"/>
        </w:numPr>
      </w:pPr>
      <w:r>
        <w:t>T</w:t>
      </w:r>
      <w:r>
        <w:t>opical agents</w:t>
      </w:r>
      <w:r>
        <w:t xml:space="preserve"> </w:t>
      </w:r>
      <w:r>
        <w:t>are indicated early in wound management to control contamination</w:t>
      </w:r>
      <w:r>
        <w:t xml:space="preserve"> </w:t>
      </w:r>
      <w:r>
        <w:t>and reduce microbial burden</w:t>
      </w:r>
    </w:p>
    <w:p w:rsidR="006A1E92" w:rsidRDefault="006A1E92" w:rsidP="00101D95">
      <w:pPr>
        <w:pStyle w:val="ListParagraph"/>
        <w:numPr>
          <w:ilvl w:val="0"/>
          <w:numId w:val="1"/>
        </w:numPr>
      </w:pPr>
      <w:r>
        <w:t>Systemic agents are indicated</w:t>
      </w:r>
      <w:r>
        <w:t xml:space="preserve"> </w:t>
      </w:r>
      <w:r>
        <w:t>for t</w:t>
      </w:r>
      <w:r>
        <w:t>reatment of wound infection</w:t>
      </w:r>
    </w:p>
    <w:p w:rsidR="006A1E92" w:rsidRDefault="006A1E92" w:rsidP="006A1E92">
      <w:r>
        <w:rPr>
          <w:noProof/>
        </w:rPr>
        <w:lastRenderedPageBreak/>
        <w:drawing>
          <wp:inline distT="0" distB="0" distL="0" distR="0">
            <wp:extent cx="6848475" cy="46482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E92" w:rsidRDefault="006A1E92" w:rsidP="006A1E92">
      <w:r>
        <w:rPr>
          <w:noProof/>
        </w:rPr>
        <w:drawing>
          <wp:inline distT="0" distB="0" distL="0" distR="0">
            <wp:extent cx="6858000" cy="4324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3B3" w:rsidRDefault="005753B3" w:rsidP="006A1E92">
      <w:r>
        <w:rPr>
          <w:noProof/>
        </w:rPr>
        <w:lastRenderedPageBreak/>
        <w:drawing>
          <wp:inline distT="0" distB="0" distL="0" distR="0">
            <wp:extent cx="6848475" cy="42386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3B3" w:rsidRDefault="005753B3" w:rsidP="006A1E92"/>
    <w:p w:rsidR="005753B3" w:rsidRDefault="005753B3" w:rsidP="006A1E92">
      <w:r>
        <w:t>QUESTIONS</w:t>
      </w:r>
    </w:p>
    <w:p w:rsidR="005753B3" w:rsidRDefault="005753B3" w:rsidP="006A1E92">
      <w:r>
        <w:t xml:space="preserve">1. </w:t>
      </w:r>
      <w:proofErr w:type="gramStart"/>
      <w:r>
        <w:t>The</w:t>
      </w:r>
      <w:proofErr w:type="gramEnd"/>
      <w:r>
        <w:t xml:space="preserve"> most common direction for </w:t>
      </w:r>
      <w:proofErr w:type="spellStart"/>
      <w:r>
        <w:t>coxofemoral</w:t>
      </w:r>
      <w:proofErr w:type="spellEnd"/>
      <w:r>
        <w:t xml:space="preserve"> luxation is….</w:t>
      </w:r>
    </w:p>
    <w:p w:rsidR="005753B3" w:rsidRDefault="005753B3" w:rsidP="006A1E92">
      <w:r>
        <w:t>a) Craniodorsal</w:t>
      </w:r>
    </w:p>
    <w:p w:rsidR="005753B3" w:rsidRDefault="005753B3" w:rsidP="006A1E92">
      <w:r>
        <w:t xml:space="preserve">b) </w:t>
      </w:r>
      <w:proofErr w:type="spellStart"/>
      <w:r>
        <w:t>Cranioventral</w:t>
      </w:r>
      <w:proofErr w:type="spellEnd"/>
    </w:p>
    <w:p w:rsidR="005753B3" w:rsidRDefault="005753B3" w:rsidP="006A1E92">
      <w:r>
        <w:t xml:space="preserve">c) </w:t>
      </w:r>
      <w:proofErr w:type="spellStart"/>
      <w:r>
        <w:t>Caudodorsal</w:t>
      </w:r>
      <w:proofErr w:type="spellEnd"/>
    </w:p>
    <w:p w:rsidR="005753B3" w:rsidRDefault="005753B3" w:rsidP="006A1E92">
      <w:r>
        <w:t xml:space="preserve">d) </w:t>
      </w:r>
      <w:proofErr w:type="spellStart"/>
      <w:r>
        <w:t>Caudoventral</w:t>
      </w:r>
      <w:proofErr w:type="spellEnd"/>
    </w:p>
    <w:p w:rsidR="005753B3" w:rsidRDefault="005753B3" w:rsidP="006A1E92"/>
    <w:p w:rsidR="005753B3" w:rsidRDefault="005753B3" w:rsidP="005753B3">
      <w:r>
        <w:t xml:space="preserve">2. </w:t>
      </w:r>
      <w:r>
        <w:t xml:space="preserve">Contamination is </w:t>
      </w:r>
      <w:r>
        <w:t>….</w:t>
      </w:r>
    </w:p>
    <w:p w:rsidR="005753B3" w:rsidRDefault="005753B3" w:rsidP="005753B3"/>
    <w:p w:rsidR="005753B3" w:rsidRDefault="005753B3" w:rsidP="005753B3">
      <w:r>
        <w:t xml:space="preserve">3. </w:t>
      </w:r>
      <w:r>
        <w:t xml:space="preserve">Colonization is </w:t>
      </w:r>
      <w:r>
        <w:t>…</w:t>
      </w:r>
    </w:p>
    <w:p w:rsidR="005753B3" w:rsidRDefault="005753B3" w:rsidP="005753B3"/>
    <w:p w:rsidR="005753B3" w:rsidRDefault="005753B3" w:rsidP="005753B3">
      <w:r>
        <w:t xml:space="preserve">4. </w:t>
      </w:r>
      <w:r>
        <w:t>Infection i</w:t>
      </w:r>
      <w:r>
        <w:t>s</w:t>
      </w:r>
      <w:r>
        <w:t xml:space="preserve"> </w:t>
      </w:r>
      <w:r>
        <w:t>…</w:t>
      </w:r>
    </w:p>
    <w:p w:rsidR="005753B3" w:rsidRDefault="005753B3" w:rsidP="005753B3">
      <w:bookmarkStart w:id="0" w:name="_GoBack"/>
      <w:bookmarkEnd w:id="0"/>
    </w:p>
    <w:p w:rsidR="005753B3" w:rsidRDefault="005753B3" w:rsidP="005753B3">
      <w:r>
        <w:t xml:space="preserve">5. </w:t>
      </w:r>
      <w:r>
        <w:t xml:space="preserve">A burden of </w:t>
      </w:r>
      <w:r>
        <w:rPr>
          <w:u w:val="single"/>
        </w:rPr>
        <w:t>_____________________________</w:t>
      </w:r>
      <w:r>
        <w:t>colony-forming units (CFU) per gram of tissue has long been considered the threshold for development of infection, with the time frame required for this to occur being 6 hours or more</w:t>
      </w:r>
    </w:p>
    <w:p w:rsidR="005753B3" w:rsidRDefault="005753B3" w:rsidP="005753B3"/>
    <w:p w:rsidR="005753B3" w:rsidRDefault="005753B3" w:rsidP="005753B3"/>
    <w:p w:rsidR="005753B3" w:rsidRDefault="005753B3" w:rsidP="005753B3"/>
    <w:p w:rsidR="005753B3" w:rsidRDefault="005753B3" w:rsidP="005753B3">
      <w:r>
        <w:t>QUESTIONS AND ANSWERS</w:t>
      </w:r>
    </w:p>
    <w:p w:rsidR="005753B3" w:rsidRDefault="005753B3" w:rsidP="005753B3">
      <w:r>
        <w:t xml:space="preserve">1. </w:t>
      </w:r>
      <w:proofErr w:type="gramStart"/>
      <w:r>
        <w:t>The</w:t>
      </w:r>
      <w:proofErr w:type="gramEnd"/>
      <w:r>
        <w:t xml:space="preserve"> most common direction for </w:t>
      </w:r>
      <w:proofErr w:type="spellStart"/>
      <w:r>
        <w:t>coxofemoral</w:t>
      </w:r>
      <w:proofErr w:type="spellEnd"/>
      <w:r>
        <w:t xml:space="preserve"> luxation is….</w:t>
      </w:r>
    </w:p>
    <w:p w:rsidR="005753B3" w:rsidRDefault="005753B3" w:rsidP="005753B3">
      <w:r>
        <w:t xml:space="preserve">a) </w:t>
      </w:r>
      <w:r w:rsidRPr="005753B3">
        <w:rPr>
          <w:b/>
        </w:rPr>
        <w:t>Craniodorsal</w:t>
      </w:r>
    </w:p>
    <w:p w:rsidR="005753B3" w:rsidRDefault="005753B3" w:rsidP="005753B3">
      <w:r>
        <w:t xml:space="preserve">b) </w:t>
      </w:r>
      <w:proofErr w:type="spellStart"/>
      <w:r>
        <w:t>Cranioventral</w:t>
      </w:r>
      <w:proofErr w:type="spellEnd"/>
    </w:p>
    <w:p w:rsidR="005753B3" w:rsidRDefault="005753B3" w:rsidP="005753B3">
      <w:r>
        <w:t xml:space="preserve">c) </w:t>
      </w:r>
      <w:proofErr w:type="spellStart"/>
      <w:r>
        <w:t>Caudodorsal</w:t>
      </w:r>
      <w:proofErr w:type="spellEnd"/>
    </w:p>
    <w:p w:rsidR="005753B3" w:rsidRDefault="005753B3" w:rsidP="005753B3">
      <w:r>
        <w:t xml:space="preserve">d) </w:t>
      </w:r>
      <w:proofErr w:type="spellStart"/>
      <w:r>
        <w:t>Caudoventral</w:t>
      </w:r>
      <w:proofErr w:type="spellEnd"/>
    </w:p>
    <w:p w:rsidR="005753B3" w:rsidRDefault="005753B3" w:rsidP="005753B3"/>
    <w:p w:rsidR="005753B3" w:rsidRDefault="005753B3" w:rsidP="005753B3">
      <w:r>
        <w:t>2. Contamination is the presence of microbes on a surface</w:t>
      </w:r>
    </w:p>
    <w:p w:rsidR="005753B3" w:rsidRDefault="005753B3" w:rsidP="005753B3">
      <w:r>
        <w:t>3. Colonization is when surface microorganisms are replicating</w:t>
      </w:r>
    </w:p>
    <w:p w:rsidR="005753B3" w:rsidRDefault="005753B3" w:rsidP="005753B3">
      <w:r>
        <w:t>4. Infection in when there is invasion and replication of microbes within the tissue</w:t>
      </w:r>
    </w:p>
    <w:p w:rsidR="005753B3" w:rsidRDefault="005753B3" w:rsidP="005753B3">
      <w:r>
        <w:t xml:space="preserve">5. A burden of </w:t>
      </w:r>
      <w:r w:rsidRPr="005753B3">
        <w:rPr>
          <w:u w:val="single"/>
        </w:rPr>
        <w:t>10</w:t>
      </w:r>
      <w:r w:rsidRPr="005753B3">
        <w:rPr>
          <w:u w:val="single"/>
          <w:vertAlign w:val="superscript"/>
        </w:rPr>
        <w:t>5</w:t>
      </w:r>
      <w:r w:rsidRPr="005753B3">
        <w:rPr>
          <w:u w:val="single"/>
        </w:rPr>
        <w:t xml:space="preserve"> </w:t>
      </w:r>
      <w:r>
        <w:t>colony-forming units (CFU) per gram of tissue has long been considered the threshold for development of infection, with the time frame required for this to occur being 6 hours or more</w:t>
      </w:r>
    </w:p>
    <w:p w:rsidR="005753B3" w:rsidRDefault="005753B3" w:rsidP="005753B3"/>
    <w:p w:rsidR="00902593" w:rsidRDefault="00902593" w:rsidP="00902593"/>
    <w:sectPr w:rsidR="00902593" w:rsidSect="0090259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44E00"/>
    <w:multiLevelType w:val="hybridMultilevel"/>
    <w:tmpl w:val="1AC0A2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022A1C"/>
    <w:multiLevelType w:val="hybridMultilevel"/>
    <w:tmpl w:val="BB2030B6"/>
    <w:lvl w:ilvl="0" w:tplc="5BBA76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C37C11"/>
    <w:multiLevelType w:val="hybridMultilevel"/>
    <w:tmpl w:val="C41860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66"/>
    <w:rsid w:val="001F1C1B"/>
    <w:rsid w:val="00326B66"/>
    <w:rsid w:val="005753B3"/>
    <w:rsid w:val="006A1E92"/>
    <w:rsid w:val="00902593"/>
    <w:rsid w:val="009045F6"/>
    <w:rsid w:val="00B478E4"/>
    <w:rsid w:val="00B8552C"/>
    <w:rsid w:val="00D2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F0C451-A417-4052-BF3C-B9740EC8E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6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2</cp:revision>
  <dcterms:created xsi:type="dcterms:W3CDTF">2016-01-19T18:04:00Z</dcterms:created>
  <dcterms:modified xsi:type="dcterms:W3CDTF">2016-01-19T18:04:00Z</dcterms:modified>
</cp:coreProperties>
</file>